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3CA29" w14:textId="77777777" w:rsidR="00E54B24" w:rsidRDefault="00E54B24" w:rsidP="00E54B24">
      <w:pPr>
        <w:pStyle w:val="OtherMSOpen"/>
      </w:pPr>
      <w:r>
        <w:rPr>
          <w:lang w:val="en-US"/>
        </w:rPr>
        <w:t>MSOpen Book Chapter Template</w:t>
      </w:r>
    </w:p>
    <w:p w14:paraId="511F4190" w14:textId="77777777" w:rsidR="00E54B24" w:rsidRDefault="00E54B24" w:rsidP="00E54B24">
      <w:pPr>
        <w:pStyle w:val="BodyTextMSOpen"/>
      </w:pPr>
    </w:p>
    <w:p w14:paraId="372313C5" w14:textId="77777777" w:rsidR="00E54B24" w:rsidRDefault="00E54B24" w:rsidP="00E54B24">
      <w:pPr>
        <w:pStyle w:val="ChapterTitleMSOpen"/>
      </w:pPr>
      <w:r>
        <w:t>Ganti teks ini dengan Judul Bab Anda</w:t>
      </w:r>
    </w:p>
    <w:p w14:paraId="57BA39F7" w14:textId="77777777" w:rsidR="00E54B24" w:rsidRDefault="00E54B24" w:rsidP="00E54B24">
      <w:pPr>
        <w:pStyle w:val="BodyTextMSOpen"/>
      </w:pPr>
    </w:p>
    <w:p w14:paraId="1E4EAAEC" w14:textId="77777777" w:rsidR="00E54B24" w:rsidRDefault="00E54B24" w:rsidP="00E54B24">
      <w:pPr>
        <w:pStyle w:val="BodyTextMSOpen"/>
      </w:pPr>
      <w:r>
        <w:t>Ganti teks ini dengan Nama depan, Nama belakang Penulis, Institusi, Kota, Negara, Alamat e-mail yang berhubungan dengan Penulis; Afiliasi harus dalam Bahasa Indonesia.</w:t>
      </w:r>
    </w:p>
    <w:p w14:paraId="4AFFF2AE" w14:textId="5FB067BC" w:rsidR="00E54B24" w:rsidRDefault="00E54B24" w:rsidP="00E54B24">
      <w:pPr>
        <w:pStyle w:val="Heading1MSOpen"/>
      </w:pPr>
      <w:r>
        <w:t>A</w:t>
      </w:r>
      <w:r w:rsidR="00CC3045">
        <w:t>b</w:t>
      </w:r>
      <w:r>
        <w:t>strak</w:t>
      </w:r>
    </w:p>
    <w:p w14:paraId="580DD9F9" w14:textId="05F13161" w:rsidR="00E54B24" w:rsidRDefault="00E54B24" w:rsidP="00E54B24">
      <w:pPr>
        <w:pStyle w:val="BodyTextMSOpen"/>
      </w:pPr>
      <w:r>
        <w:t xml:space="preserve">Ganti keseluruhan teks ini dengan </w:t>
      </w:r>
      <w:r>
        <w:rPr>
          <w:b/>
        </w:rPr>
        <w:t xml:space="preserve">abstrak </w:t>
      </w:r>
      <w:r>
        <w:t xml:space="preserve">Anda. Abstrak sebaiknya </w:t>
      </w:r>
      <w:r w:rsidR="00A5712C">
        <w:t xml:space="preserve">secara singkat </w:t>
      </w:r>
      <w:r>
        <w:t>memperkenalkan</w:t>
      </w:r>
      <w:r w:rsidR="00A5712C">
        <w:t xml:space="preserve"> </w:t>
      </w:r>
      <w:r>
        <w:t xml:space="preserve">manuskrip dan tidak lebih dari </w:t>
      </w:r>
      <w:r w:rsidRPr="00FF6A74">
        <w:rPr>
          <w:b/>
        </w:rPr>
        <w:t>200 kata</w:t>
      </w:r>
      <w:r>
        <w:t xml:space="preserve">. </w:t>
      </w:r>
      <w:r w:rsidR="00A5712C">
        <w:t>S</w:t>
      </w:r>
      <w:r>
        <w:t>ebaiknya tidak dimasukkan</w:t>
      </w:r>
      <w:r w:rsidR="00A5712C">
        <w:t xml:space="preserve"> kutipan</w:t>
      </w:r>
      <w:r>
        <w:t xml:space="preserve"> dalam abstrak.</w:t>
      </w:r>
    </w:p>
    <w:p w14:paraId="266FFA5A" w14:textId="77777777" w:rsidR="00E54B24" w:rsidRPr="007A37C8" w:rsidRDefault="00E54B24" w:rsidP="00E54B24">
      <w:pPr>
        <w:pStyle w:val="BodyTextMSOpen"/>
        <w:rPr>
          <w:rStyle w:val="Strong"/>
          <w:b w:val="0"/>
        </w:rPr>
      </w:pPr>
      <w:r>
        <w:rPr>
          <w:rStyle w:val="Strong"/>
        </w:rPr>
        <w:t xml:space="preserve">Kata Kunci: </w:t>
      </w:r>
      <w:r>
        <w:rPr>
          <w:rStyle w:val="Strong"/>
          <w:b w:val="0"/>
        </w:rPr>
        <w:t xml:space="preserve">Ganti teks ini dengan kata kunci Anda. Gunakan minimal </w:t>
      </w:r>
      <w:r w:rsidRPr="00FF6A74">
        <w:rPr>
          <w:rStyle w:val="Strong"/>
        </w:rPr>
        <w:t>5 kata kunci</w:t>
      </w:r>
      <w:r>
        <w:rPr>
          <w:rStyle w:val="Strong"/>
          <w:b w:val="0"/>
        </w:rPr>
        <w:t xml:space="preserve"> yang mendeskripsikan topik manuskrip Anda dan setiap kata kunci dipisah dengan </w:t>
      </w:r>
      <w:r w:rsidRPr="00FF6A74">
        <w:rPr>
          <w:rStyle w:val="Strong"/>
        </w:rPr>
        <w:t>koma (,)</w:t>
      </w:r>
      <w:r>
        <w:rPr>
          <w:rStyle w:val="Strong"/>
          <w:b w:val="0"/>
        </w:rPr>
        <w:t>.</w:t>
      </w:r>
    </w:p>
    <w:p w14:paraId="30E420D1" w14:textId="77777777" w:rsidR="00E54B24" w:rsidRDefault="00E54B24" w:rsidP="00E54B24">
      <w:pPr>
        <w:pStyle w:val="Heading1MSOpen"/>
      </w:pPr>
      <w:r>
        <w:t>1. Pendahuluan</w:t>
      </w:r>
    </w:p>
    <w:p w14:paraId="23E19C6A" w14:textId="3796641C" w:rsidR="00F330EF" w:rsidRPr="00354AAC" w:rsidRDefault="00E54B24" w:rsidP="00F330EF">
      <w:pPr>
        <w:pStyle w:val="BodyTextMSOpen"/>
      </w:pPr>
      <w:r>
        <w:t xml:space="preserve">Ganti keseluruhan teks ini dengan </w:t>
      </w:r>
      <w:r>
        <w:rPr>
          <w:b/>
        </w:rPr>
        <w:t>pendahuluan</w:t>
      </w:r>
      <w:r>
        <w:t xml:space="preserve"> bab Anda. Bagian pendahuluan sebaiknya berisi konteks dari manuskrip Anda dan diberi nomor sebagai judul pertama. Ketika mempersiapkan pendahuluan, </w:t>
      </w:r>
      <w:r w:rsidR="00D43F28">
        <w:t>p</w:t>
      </w:r>
      <w:r>
        <w:t>erhatikan bahwa tidak semua pembaca mahir dibidang penelitian Anda.</w:t>
      </w:r>
      <w:r w:rsidR="002A7936">
        <w:t xml:space="preserve"> Fokuskan pada latar belakang topik kajian, pentingnya kajian, dan sampaikan “problem statements” anda yang menunjukkan ringkasan riset terdahulu, kelemahan apa (atau ada gap, ada masalah apa) yang akan diseelsaikan, dan usulan Penyelesaian Anda.</w:t>
      </w:r>
    </w:p>
    <w:p w14:paraId="37C7EAB4" w14:textId="77777777" w:rsidR="00E54B24" w:rsidRDefault="00E54B24" w:rsidP="00E54B24">
      <w:pPr>
        <w:pStyle w:val="Heading1MSOpen"/>
      </w:pPr>
      <w:r>
        <w:t>2. Ganti teks ini dengan bagian Judul Anda</w:t>
      </w:r>
    </w:p>
    <w:p w14:paraId="0B83C965" w14:textId="79180B47" w:rsidR="00E54B24" w:rsidRPr="00E6207F" w:rsidRDefault="00E54B24" w:rsidP="00E54B24">
      <w:pPr>
        <w:pStyle w:val="BodyTextMSOpen"/>
      </w:pPr>
      <w:r>
        <w:t xml:space="preserve">Ganti keseluruhan teks ini dengan </w:t>
      </w:r>
      <w:r>
        <w:rPr>
          <w:b/>
        </w:rPr>
        <w:t>bagian utama</w:t>
      </w:r>
      <w:r>
        <w:t xml:space="preserve"> bab Anda. Bagian utama merupakan tempat penulis menjelaskan eksperimen, menyajikan dan men</w:t>
      </w:r>
      <w:r w:rsidR="00FD784D">
        <w:t>g</w:t>
      </w:r>
      <w:r>
        <w:t>interpretasikan data penelitian. Penulis bebas menentukan bagaimana struktur pada bagian utama. Setidaknya terdapat minimal satu judul. Gunakan Bahasa Indonesia yang baik dan benar.</w:t>
      </w:r>
    </w:p>
    <w:p w14:paraId="63532C79" w14:textId="015146BD" w:rsidR="00E54B24" w:rsidRDefault="00460A59" w:rsidP="00E54B24">
      <w:pPr>
        <w:pStyle w:val="Heading2MSOpen"/>
      </w:pPr>
      <w:r>
        <w:rPr>
          <w:lang w:val="en-US"/>
        </w:rPr>
        <w:t>Mengutip Sumber</w:t>
      </w:r>
    </w:p>
    <w:p w14:paraId="104E78AD" w14:textId="204A914E" w:rsidR="007D0AE5" w:rsidRDefault="00460A59" w:rsidP="00E54B24">
      <w:pPr>
        <w:pStyle w:val="BodyTextMSOpen"/>
      </w:pPr>
      <w:r>
        <w:t xml:space="preserve">Ketika Anda </w:t>
      </w:r>
      <w:r w:rsidRPr="00460A59">
        <w:rPr>
          <w:b/>
        </w:rPr>
        <w:t>mengutip sumber</w:t>
      </w:r>
      <w:r>
        <w:t xml:space="preserve">, sebaiknya menggunakan perangkat lunak kutipan seperti </w:t>
      </w:r>
      <w:r>
        <w:rPr>
          <w:b/>
        </w:rPr>
        <w:t>Mendeley, Zotero, Reference (MS Word) dan sebagainya</w:t>
      </w:r>
      <w:r>
        <w:t>, menggunakan format</w:t>
      </w:r>
      <w:r w:rsidR="00AE2CBE">
        <w:t xml:space="preserve"> style</w:t>
      </w:r>
      <w:r>
        <w:t xml:space="preserve"> </w:t>
      </w:r>
      <w:r w:rsidR="00DA05AE">
        <w:rPr>
          <w:b/>
        </w:rPr>
        <w:t>Elsevier-</w:t>
      </w:r>
      <w:r w:rsidR="00F330EF">
        <w:rPr>
          <w:b/>
        </w:rPr>
        <w:t>Vancouver</w:t>
      </w:r>
      <w:r>
        <w:t xml:space="preserve">. Kutipan ditulis dibagian akhir kalimat menggunakan format penomoran secara berurutan dengan </w:t>
      </w:r>
      <w:r w:rsidRPr="00C10E2A">
        <w:rPr>
          <w:b/>
        </w:rPr>
        <w:t>kurung</w:t>
      </w:r>
      <w:r w:rsidR="00DA05AE" w:rsidRPr="00C10E2A">
        <w:rPr>
          <w:b/>
        </w:rPr>
        <w:t xml:space="preserve"> siku</w:t>
      </w:r>
      <w:r>
        <w:t>, seperti pada contoh berikut.</w:t>
      </w:r>
    </w:p>
    <w:p w14:paraId="475B3490" w14:textId="30077B4A" w:rsidR="00E54B24" w:rsidRDefault="00E54B24" w:rsidP="00E54B24">
      <w:pPr>
        <w:pStyle w:val="BodyTextMSOpen"/>
      </w:pPr>
      <w:r>
        <w:t xml:space="preserve">Format benar: </w:t>
      </w:r>
      <w:r w:rsidR="00C10E2A">
        <w:t>[</w:t>
      </w:r>
      <w:r>
        <w:t>4–6, 9</w:t>
      </w:r>
      <w:r w:rsidR="00C10E2A">
        <w:t>]</w:t>
      </w:r>
      <w:r>
        <w:t xml:space="preserve">; </w:t>
      </w:r>
      <w:r w:rsidR="00C10E2A">
        <w:t>[</w:t>
      </w:r>
      <w:r>
        <w:t>1, 2</w:t>
      </w:r>
      <w:r w:rsidR="00C10E2A">
        <w:t>]</w:t>
      </w:r>
    </w:p>
    <w:p w14:paraId="10FC6569" w14:textId="337582DE" w:rsidR="00E54B24" w:rsidRDefault="00E54B24" w:rsidP="00E54B24">
      <w:pPr>
        <w:pStyle w:val="BodyTextMSOpen"/>
      </w:pPr>
      <w:r>
        <w:t xml:space="preserve">Format salah: </w:t>
      </w:r>
      <w:r w:rsidR="00C10E2A">
        <w:t>[</w:t>
      </w:r>
      <w:r>
        <w:t>4, 5, 6, 9</w:t>
      </w:r>
      <w:r w:rsidR="00C10E2A">
        <w:t>]</w:t>
      </w:r>
      <w:r>
        <w:t xml:space="preserve">, </w:t>
      </w:r>
      <w:r w:rsidR="00C10E2A">
        <w:t>[</w:t>
      </w:r>
      <w:r>
        <w:t>4</w:t>
      </w:r>
      <w:r w:rsidR="00C10E2A">
        <w:t>]</w:t>
      </w:r>
      <w:r>
        <w:t xml:space="preserve"> </w:t>
      </w:r>
      <w:r w:rsidR="00C10E2A">
        <w:t>[</w:t>
      </w:r>
      <w:r>
        <w:t>5</w:t>
      </w:r>
      <w:r w:rsidR="00C10E2A">
        <w:t>]</w:t>
      </w:r>
      <w:r>
        <w:t xml:space="preserve"> </w:t>
      </w:r>
      <w:r w:rsidR="00C10E2A">
        <w:t>[</w:t>
      </w:r>
      <w:r>
        <w:t>6</w:t>
      </w:r>
      <w:r w:rsidR="00C10E2A">
        <w:t>]</w:t>
      </w:r>
      <w:r>
        <w:t xml:space="preserve"> </w:t>
      </w:r>
      <w:r w:rsidR="00C10E2A">
        <w:t>[</w:t>
      </w:r>
      <w:r>
        <w:t>9</w:t>
      </w:r>
      <w:r w:rsidR="00C10E2A">
        <w:t>]</w:t>
      </w:r>
      <w:r>
        <w:t xml:space="preserve">; </w:t>
      </w:r>
      <w:r w:rsidR="00C10E2A">
        <w:t>[</w:t>
      </w:r>
      <w:r>
        <w:t>1–2</w:t>
      </w:r>
      <w:r w:rsidR="00C10E2A">
        <w:t>]</w:t>
      </w:r>
    </w:p>
    <w:p w14:paraId="589CF902" w14:textId="77777777" w:rsidR="00532298" w:rsidRDefault="00532298" w:rsidP="00E54B24">
      <w:pPr>
        <w:pStyle w:val="BodyTextMSOpen"/>
      </w:pPr>
    </w:p>
    <w:p w14:paraId="7351F05B" w14:textId="4AB0BEA1" w:rsidR="00460A59" w:rsidRPr="00532298" w:rsidRDefault="00460A59" w:rsidP="00532298">
      <w:pPr>
        <w:pStyle w:val="Heading2MSOpen"/>
        <w:rPr>
          <w:lang w:val="en-US"/>
        </w:rPr>
      </w:pPr>
      <w:r>
        <w:rPr>
          <w:lang w:val="en-US"/>
        </w:rPr>
        <w:lastRenderedPageBreak/>
        <w:t>Gambar dan Tabel</w:t>
      </w:r>
    </w:p>
    <w:p w14:paraId="573C6D5C" w14:textId="578A14DF" w:rsidR="00532298" w:rsidRDefault="00532298" w:rsidP="00E54B24">
      <w:pPr>
        <w:pStyle w:val="BodyTextMSOpen"/>
      </w:pPr>
      <w:r w:rsidRPr="00532298">
        <w:rPr>
          <w:b/>
        </w:rPr>
        <w:t>Gambar</w:t>
      </w:r>
      <w:r w:rsidRPr="00532298">
        <w:t xml:space="preserve"> harus memiliki resolusi tinggi (300 dpi atau lebih besar). Format gambar yang diijinkan adalah .JPEG, .PNG, .TIFF, .BMP, .EPS, .WMF, .EMF atau .PDF. Pastikan memberikan nomor secara sesuai. Dimensi gambar tidak lebih dari 130mm (5,118 inci) untuk lebar dan 184mm (7,244 inci) untuk tinggi. Gambar dengan dimensi besar akan disesuai dengan dimensi yang diperbolehkan.</w:t>
      </w:r>
    </w:p>
    <w:p w14:paraId="674F8C4C" w14:textId="3699E22A" w:rsidR="00532298" w:rsidRDefault="004F5410" w:rsidP="00E54B24">
      <w:pPr>
        <w:pStyle w:val="BodyTextMSOpen"/>
        <w:rPr>
          <w:bCs/>
        </w:rPr>
      </w:pPr>
      <w:r w:rsidRPr="004F5410">
        <w:rPr>
          <w:bCs/>
        </w:rPr>
        <w:t>Gambar diberi nomor urut dan keterangan dari gambar diletakkan pada bagian bawah gambar</w:t>
      </w:r>
      <w:r>
        <w:rPr>
          <w:bCs/>
        </w:rPr>
        <w:t>. Jika legend</w:t>
      </w:r>
      <w:r w:rsidR="00B52840">
        <w:rPr>
          <w:bCs/>
        </w:rPr>
        <w:t>a</w:t>
      </w:r>
      <w:r>
        <w:rPr>
          <w:bCs/>
        </w:rPr>
        <w:t xml:space="preserve"> gambar </w:t>
      </w:r>
      <w:r w:rsidR="00BE7270">
        <w:rPr>
          <w:bCs/>
        </w:rPr>
        <w:t>bukan bagian</w:t>
      </w:r>
      <w:r>
        <w:rPr>
          <w:bCs/>
        </w:rPr>
        <w:t xml:space="preserve"> gambar maka harus diletakkan dibawah keterangan gambar. Bila dalam kalimat menunjuk gambar maka harus ditulis “Gambar”. </w:t>
      </w:r>
    </w:p>
    <w:p w14:paraId="368F1C55" w14:textId="49FF0BE1" w:rsidR="004F5410" w:rsidRPr="004F5410" w:rsidRDefault="004F5410" w:rsidP="00E54B24">
      <w:pPr>
        <w:pStyle w:val="BodyTextMSOpen"/>
        <w:rPr>
          <w:bCs/>
        </w:rPr>
      </w:pPr>
      <w:r>
        <w:rPr>
          <w:b/>
          <w:bCs/>
        </w:rPr>
        <w:t>Gambar kurva</w:t>
      </w:r>
      <w:r>
        <w:rPr>
          <w:bCs/>
        </w:rPr>
        <w:t xml:space="preserve"> sebaiknya menggunakan </w:t>
      </w:r>
      <w:r w:rsidR="00BE7270">
        <w:rPr>
          <w:bCs/>
        </w:rPr>
        <w:t xml:space="preserve">perangkat lunak seperti Microcal Origin, atau Kaleida graph. Kualitas gambar kurva dari Excel tidak diterima. </w:t>
      </w:r>
    </w:p>
    <w:p w14:paraId="7EFCE4AE" w14:textId="17606195" w:rsidR="004F5410" w:rsidRPr="004F5410" w:rsidRDefault="004F5410" w:rsidP="00E54B24">
      <w:pPr>
        <w:pStyle w:val="BodyTextMSOpen"/>
        <w:rPr>
          <w:bCs/>
        </w:rPr>
      </w:pPr>
      <w:r>
        <w:rPr>
          <w:b/>
          <w:bCs/>
        </w:rPr>
        <w:t xml:space="preserve">Tabel </w:t>
      </w:r>
      <w:r>
        <w:rPr>
          <w:bCs/>
        </w:rPr>
        <w:t xml:space="preserve">bukan dalam format gambar (seperti .jpeg, .tiff, dsb). </w:t>
      </w:r>
      <w:r w:rsidR="00BE7270">
        <w:rPr>
          <w:bCs/>
        </w:rPr>
        <w:t>Semua tabel harus dalam orientasi Potrait dan maksimum lebar 130mm (5,118 inci).</w:t>
      </w:r>
    </w:p>
    <w:p w14:paraId="1169B1FD" w14:textId="4EB73AFF" w:rsidR="00BE7270" w:rsidRDefault="00BE7270" w:rsidP="00E54B24">
      <w:pPr>
        <w:pStyle w:val="BodyTextMSOpen"/>
      </w:pPr>
      <w:r>
        <w:t>Keterangan tabel berada di bawah tabel. Jika terdapat legenda tabel yang bukan bagian dalam tabel harus diletakkan di bawah keterangan tabel.</w:t>
      </w:r>
    </w:p>
    <w:p w14:paraId="68C08AC0" w14:textId="77026D2F" w:rsidR="00BE7270" w:rsidRDefault="00BE7270" w:rsidP="00E54B24">
      <w:pPr>
        <w:pStyle w:val="BodyTextMSOpen"/>
      </w:pPr>
      <w:r>
        <w:t xml:space="preserve">Semua gambar dan tabel harus dikutip pada naskah dengan nomor (seperti Gambar 1, Tabel 1) bukan dalam singkatan (seperti “Tab. 1”, “Gb. 1”). </w:t>
      </w:r>
      <w:r w:rsidR="002D70F7">
        <w:t>Kutipan utama gambar dan tabel dalam naskah harus berurutan dari 1 sampai n, dimana n menandakan gambar/tabel terakhir dalam bab ini.</w:t>
      </w:r>
    </w:p>
    <w:p w14:paraId="7A731D53" w14:textId="414A0F67" w:rsidR="002D70F7" w:rsidRDefault="002D70F7" w:rsidP="00E54B24">
      <w:pPr>
        <w:pStyle w:val="BodyTextMSOpen"/>
      </w:pPr>
      <w:r>
        <w:t>Benar: Gambar 1, Gambar 2, Tabel 1, Tabel 2.</w:t>
      </w:r>
    </w:p>
    <w:p w14:paraId="513DB8F6" w14:textId="27F87523" w:rsidR="002D70F7" w:rsidRDefault="002D70F7" w:rsidP="00E54B24">
      <w:pPr>
        <w:pStyle w:val="BodyTextMSOpen"/>
      </w:pPr>
      <w:r>
        <w:t>Salah: Gb. 1.1, Gambar 1.2, Tab. 1.1, Tabel 1.2.</w:t>
      </w:r>
    </w:p>
    <w:p w14:paraId="01B297E9" w14:textId="67042109" w:rsidR="008F4B73" w:rsidRDefault="008F4B73" w:rsidP="00E54B24">
      <w:pPr>
        <w:pStyle w:val="BodyTextMSOpen"/>
      </w:pPr>
      <w:r>
        <w:t>Contoh:</w:t>
      </w:r>
    </w:p>
    <w:tbl>
      <w:tblPr>
        <w:tblW w:w="7371" w:type="dxa"/>
        <w:tblBorders>
          <w:top w:val="single" w:sz="4" w:space="0" w:color="7F7F7F"/>
          <w:bottom w:val="single" w:sz="4" w:space="0" w:color="7F7F7F"/>
        </w:tblBorders>
        <w:tblLook w:val="04A0" w:firstRow="1" w:lastRow="0" w:firstColumn="1" w:lastColumn="0" w:noHBand="0" w:noVBand="1"/>
      </w:tblPr>
      <w:tblGrid>
        <w:gridCol w:w="3119"/>
        <w:gridCol w:w="4252"/>
      </w:tblGrid>
      <w:tr w:rsidR="008F4B73" w:rsidRPr="008F4B73" w14:paraId="4DBF2A22" w14:textId="77777777" w:rsidTr="008F4B73">
        <w:trPr>
          <w:trHeight w:val="227"/>
        </w:trPr>
        <w:tc>
          <w:tcPr>
            <w:tcW w:w="3119" w:type="dxa"/>
            <w:tcBorders>
              <w:bottom w:val="single" w:sz="4" w:space="0" w:color="7F7F7F"/>
            </w:tcBorders>
            <w:shd w:val="clear" w:color="auto" w:fill="auto"/>
            <w:hideMark/>
          </w:tcPr>
          <w:p w14:paraId="1B659B24" w14:textId="77777777" w:rsidR="008F4B73" w:rsidRPr="008F4B73" w:rsidRDefault="008F4B73" w:rsidP="008F4B73">
            <w:pPr>
              <w:pStyle w:val="BodyTextMSOpen"/>
              <w:spacing w:after="0"/>
              <w:ind w:firstLine="14"/>
              <w:jc w:val="left"/>
              <w:rPr>
                <w:bCs/>
                <w:sz w:val="16"/>
              </w:rPr>
            </w:pPr>
            <w:r w:rsidRPr="008F4B73">
              <w:rPr>
                <w:bCs/>
                <w:sz w:val="16"/>
              </w:rPr>
              <w:t>Parameter</w:t>
            </w:r>
          </w:p>
        </w:tc>
        <w:tc>
          <w:tcPr>
            <w:tcW w:w="4252" w:type="dxa"/>
            <w:tcBorders>
              <w:bottom w:val="single" w:sz="4" w:space="0" w:color="7F7F7F"/>
            </w:tcBorders>
            <w:shd w:val="clear" w:color="auto" w:fill="auto"/>
            <w:hideMark/>
          </w:tcPr>
          <w:p w14:paraId="23FD76B1" w14:textId="77777777" w:rsidR="008F4B73" w:rsidRPr="008F4B73" w:rsidRDefault="008F4B73" w:rsidP="008F4B73">
            <w:pPr>
              <w:pStyle w:val="BodyTextMSOpen"/>
              <w:spacing w:after="0"/>
              <w:jc w:val="center"/>
              <w:rPr>
                <w:bCs/>
                <w:sz w:val="16"/>
              </w:rPr>
            </w:pPr>
            <w:r w:rsidRPr="008F4B73">
              <w:rPr>
                <w:bCs/>
                <w:sz w:val="16"/>
              </w:rPr>
              <w:t>DSSC</w:t>
            </w:r>
          </w:p>
        </w:tc>
      </w:tr>
      <w:tr w:rsidR="008F4B73" w:rsidRPr="008F4B73" w14:paraId="3A89EC2A" w14:textId="77777777" w:rsidTr="008F4B73">
        <w:trPr>
          <w:trHeight w:val="227"/>
        </w:trPr>
        <w:tc>
          <w:tcPr>
            <w:tcW w:w="3119" w:type="dxa"/>
            <w:tcBorders>
              <w:top w:val="single" w:sz="4" w:space="0" w:color="7F7F7F"/>
              <w:bottom w:val="nil"/>
            </w:tcBorders>
            <w:shd w:val="clear" w:color="auto" w:fill="auto"/>
            <w:hideMark/>
          </w:tcPr>
          <w:p w14:paraId="39C03F48" w14:textId="77777777" w:rsidR="008F4B73" w:rsidRPr="008F4B73" w:rsidRDefault="008F4B73" w:rsidP="008F4B73">
            <w:pPr>
              <w:pStyle w:val="BodyTextMSOpen"/>
              <w:spacing w:after="0"/>
              <w:jc w:val="left"/>
              <w:rPr>
                <w:bCs/>
                <w:sz w:val="16"/>
              </w:rPr>
            </w:pPr>
            <w:r w:rsidRPr="008F4B73">
              <w:rPr>
                <w:bCs/>
                <w:sz w:val="16"/>
              </w:rPr>
              <w:t>I</w:t>
            </w:r>
            <w:r w:rsidRPr="008F4B73">
              <w:rPr>
                <w:bCs/>
                <w:sz w:val="16"/>
                <w:vertAlign w:val="subscript"/>
              </w:rPr>
              <w:t>0</w:t>
            </w:r>
            <w:r w:rsidRPr="008F4B73">
              <w:rPr>
                <w:bCs/>
                <w:sz w:val="16"/>
              </w:rPr>
              <w:t>(µA)</w:t>
            </w:r>
          </w:p>
        </w:tc>
        <w:tc>
          <w:tcPr>
            <w:tcW w:w="4252" w:type="dxa"/>
            <w:tcBorders>
              <w:top w:val="single" w:sz="4" w:space="0" w:color="7F7F7F"/>
              <w:bottom w:val="nil"/>
            </w:tcBorders>
            <w:shd w:val="clear" w:color="auto" w:fill="auto"/>
            <w:hideMark/>
          </w:tcPr>
          <w:p w14:paraId="1F487A56" w14:textId="77777777" w:rsidR="008F4B73" w:rsidRPr="008F4B73" w:rsidRDefault="008F4B73" w:rsidP="008F4B73">
            <w:pPr>
              <w:pStyle w:val="BodyTextMSOpen"/>
              <w:spacing w:after="0"/>
              <w:jc w:val="center"/>
              <w:rPr>
                <w:sz w:val="16"/>
              </w:rPr>
            </w:pPr>
            <w:r w:rsidRPr="008F4B73">
              <w:rPr>
                <w:sz w:val="16"/>
                <w:lang w:val="id-ID"/>
              </w:rPr>
              <w:t>0</w:t>
            </w:r>
            <w:r w:rsidRPr="008F4B73">
              <w:rPr>
                <w:sz w:val="16"/>
              </w:rPr>
              <w:t>,</w:t>
            </w:r>
            <w:r w:rsidRPr="008F4B73">
              <w:rPr>
                <w:sz w:val="16"/>
                <w:lang w:val="id-ID"/>
              </w:rPr>
              <w:t>5</w:t>
            </w:r>
            <w:r w:rsidRPr="008F4B73">
              <w:rPr>
                <w:sz w:val="16"/>
              </w:rPr>
              <w:t>7</w:t>
            </w:r>
          </w:p>
        </w:tc>
      </w:tr>
      <w:tr w:rsidR="008F4B73" w:rsidRPr="008F4B73" w14:paraId="400CF085" w14:textId="77777777" w:rsidTr="008F4B73">
        <w:trPr>
          <w:trHeight w:val="227"/>
        </w:trPr>
        <w:tc>
          <w:tcPr>
            <w:tcW w:w="3119" w:type="dxa"/>
            <w:tcBorders>
              <w:top w:val="nil"/>
              <w:bottom w:val="nil"/>
            </w:tcBorders>
            <w:shd w:val="clear" w:color="auto" w:fill="auto"/>
            <w:hideMark/>
          </w:tcPr>
          <w:p w14:paraId="5835E691" w14:textId="77777777" w:rsidR="008F4B73" w:rsidRPr="008F4B73" w:rsidRDefault="008F4B73" w:rsidP="008F4B73">
            <w:pPr>
              <w:pStyle w:val="BodyTextMSOpen"/>
              <w:spacing w:after="0"/>
              <w:jc w:val="left"/>
              <w:rPr>
                <w:bCs/>
                <w:sz w:val="16"/>
              </w:rPr>
            </w:pPr>
            <w:r w:rsidRPr="008F4B73">
              <w:rPr>
                <w:bCs/>
                <w:sz w:val="16"/>
              </w:rPr>
              <w:t>N</w:t>
            </w:r>
          </w:p>
        </w:tc>
        <w:tc>
          <w:tcPr>
            <w:tcW w:w="4252" w:type="dxa"/>
            <w:tcBorders>
              <w:top w:val="nil"/>
              <w:bottom w:val="nil"/>
            </w:tcBorders>
            <w:shd w:val="clear" w:color="auto" w:fill="auto"/>
            <w:hideMark/>
          </w:tcPr>
          <w:p w14:paraId="26DB2451" w14:textId="77777777" w:rsidR="008F4B73" w:rsidRPr="008F4B73" w:rsidRDefault="008F4B73" w:rsidP="008F4B73">
            <w:pPr>
              <w:pStyle w:val="BodyTextMSOpen"/>
              <w:spacing w:after="0"/>
              <w:jc w:val="center"/>
              <w:rPr>
                <w:sz w:val="16"/>
              </w:rPr>
            </w:pPr>
            <w:r w:rsidRPr="008F4B73">
              <w:rPr>
                <w:sz w:val="16"/>
                <w:lang w:val="id-ID"/>
              </w:rPr>
              <w:t>3,00</w:t>
            </w:r>
          </w:p>
        </w:tc>
      </w:tr>
      <w:tr w:rsidR="008F4B73" w:rsidRPr="008F4B73" w14:paraId="15B2C952" w14:textId="77777777" w:rsidTr="008F4B73">
        <w:trPr>
          <w:trHeight w:val="227"/>
        </w:trPr>
        <w:tc>
          <w:tcPr>
            <w:tcW w:w="3119" w:type="dxa"/>
            <w:tcBorders>
              <w:top w:val="nil"/>
              <w:bottom w:val="nil"/>
            </w:tcBorders>
            <w:shd w:val="clear" w:color="auto" w:fill="auto"/>
            <w:hideMark/>
          </w:tcPr>
          <w:p w14:paraId="4B7407E4" w14:textId="77777777" w:rsidR="008F4B73" w:rsidRPr="008F4B73" w:rsidRDefault="008F4B73" w:rsidP="008F4B73">
            <w:pPr>
              <w:pStyle w:val="BodyTextMSOpen"/>
              <w:spacing w:after="0"/>
              <w:jc w:val="left"/>
              <w:rPr>
                <w:bCs/>
                <w:sz w:val="16"/>
              </w:rPr>
            </w:pPr>
            <w:r w:rsidRPr="008F4B73">
              <w:rPr>
                <w:bCs/>
                <w:sz w:val="16"/>
              </w:rPr>
              <w:t>R</w:t>
            </w:r>
            <w:r w:rsidRPr="008F4B73">
              <w:rPr>
                <w:bCs/>
                <w:sz w:val="16"/>
                <w:vertAlign w:val="subscript"/>
              </w:rPr>
              <w:t xml:space="preserve">s </w:t>
            </w:r>
            <w:r w:rsidRPr="008F4B73">
              <w:rPr>
                <w:bCs/>
                <w:sz w:val="16"/>
              </w:rPr>
              <w:t>(Ω cm</w:t>
            </w:r>
            <w:r w:rsidRPr="008F4B73">
              <w:rPr>
                <w:bCs/>
                <w:sz w:val="16"/>
                <w:vertAlign w:val="superscript"/>
              </w:rPr>
              <w:t>2</w:t>
            </w:r>
            <w:r w:rsidRPr="008F4B73">
              <w:rPr>
                <w:bCs/>
                <w:sz w:val="16"/>
              </w:rPr>
              <w:t>)</w:t>
            </w:r>
          </w:p>
        </w:tc>
        <w:tc>
          <w:tcPr>
            <w:tcW w:w="4252" w:type="dxa"/>
            <w:tcBorders>
              <w:top w:val="nil"/>
              <w:bottom w:val="nil"/>
            </w:tcBorders>
            <w:shd w:val="clear" w:color="auto" w:fill="auto"/>
            <w:hideMark/>
          </w:tcPr>
          <w:p w14:paraId="3D5F8D0C" w14:textId="77777777" w:rsidR="008F4B73" w:rsidRPr="008F4B73" w:rsidRDefault="008F4B73" w:rsidP="008F4B73">
            <w:pPr>
              <w:pStyle w:val="BodyTextMSOpen"/>
              <w:spacing w:after="0"/>
              <w:jc w:val="center"/>
              <w:rPr>
                <w:sz w:val="16"/>
              </w:rPr>
            </w:pPr>
            <w:r w:rsidRPr="008F4B73">
              <w:rPr>
                <w:sz w:val="16"/>
                <w:lang w:val="id-ID"/>
              </w:rPr>
              <w:t>76,7</w:t>
            </w:r>
            <w:r w:rsidRPr="008F4B73">
              <w:rPr>
                <w:sz w:val="16"/>
              </w:rPr>
              <w:t>9</w:t>
            </w:r>
          </w:p>
        </w:tc>
      </w:tr>
      <w:tr w:rsidR="008F4B73" w:rsidRPr="008F4B73" w14:paraId="1908F464" w14:textId="77777777" w:rsidTr="008F4B73">
        <w:trPr>
          <w:trHeight w:val="227"/>
        </w:trPr>
        <w:tc>
          <w:tcPr>
            <w:tcW w:w="3119" w:type="dxa"/>
            <w:tcBorders>
              <w:top w:val="nil"/>
              <w:bottom w:val="nil"/>
            </w:tcBorders>
            <w:shd w:val="clear" w:color="auto" w:fill="auto"/>
            <w:hideMark/>
          </w:tcPr>
          <w:p w14:paraId="06E21EF7" w14:textId="77777777" w:rsidR="008F4B73" w:rsidRPr="008F4B73" w:rsidRDefault="008F4B73" w:rsidP="008F4B73">
            <w:pPr>
              <w:pStyle w:val="BodyTextMSOpen"/>
              <w:spacing w:after="0"/>
              <w:jc w:val="left"/>
              <w:rPr>
                <w:bCs/>
                <w:sz w:val="16"/>
              </w:rPr>
            </w:pPr>
            <w:r w:rsidRPr="008F4B73">
              <w:rPr>
                <w:bCs/>
                <w:sz w:val="16"/>
              </w:rPr>
              <w:t>R</w:t>
            </w:r>
            <w:r w:rsidRPr="008F4B73">
              <w:rPr>
                <w:bCs/>
                <w:sz w:val="16"/>
                <w:vertAlign w:val="subscript"/>
              </w:rPr>
              <w:t xml:space="preserve">sh </w:t>
            </w:r>
            <w:r w:rsidRPr="008F4B73">
              <w:rPr>
                <w:bCs/>
                <w:sz w:val="16"/>
              </w:rPr>
              <w:t>(kΩ cm</w:t>
            </w:r>
            <w:r w:rsidRPr="008F4B73">
              <w:rPr>
                <w:bCs/>
                <w:sz w:val="16"/>
                <w:vertAlign w:val="superscript"/>
              </w:rPr>
              <w:t>2</w:t>
            </w:r>
            <w:r w:rsidRPr="008F4B73">
              <w:rPr>
                <w:bCs/>
                <w:sz w:val="16"/>
              </w:rPr>
              <w:t>)</w:t>
            </w:r>
          </w:p>
        </w:tc>
        <w:tc>
          <w:tcPr>
            <w:tcW w:w="4252" w:type="dxa"/>
            <w:tcBorders>
              <w:top w:val="nil"/>
              <w:bottom w:val="nil"/>
            </w:tcBorders>
            <w:shd w:val="clear" w:color="auto" w:fill="auto"/>
            <w:hideMark/>
          </w:tcPr>
          <w:p w14:paraId="2BCAAAD8" w14:textId="77777777" w:rsidR="008F4B73" w:rsidRPr="008F4B73" w:rsidRDefault="008F4B73" w:rsidP="008F4B73">
            <w:pPr>
              <w:pStyle w:val="BodyTextMSOpen"/>
              <w:spacing w:after="0"/>
              <w:jc w:val="center"/>
              <w:rPr>
                <w:sz w:val="16"/>
              </w:rPr>
            </w:pPr>
            <w:r w:rsidRPr="008F4B73">
              <w:rPr>
                <w:sz w:val="16"/>
                <w:lang w:val="id-ID"/>
              </w:rPr>
              <w:t>7,1</w:t>
            </w:r>
            <w:r w:rsidRPr="008F4B73">
              <w:rPr>
                <w:sz w:val="16"/>
              </w:rPr>
              <w:t>5</w:t>
            </w:r>
          </w:p>
        </w:tc>
      </w:tr>
      <w:tr w:rsidR="008F4B73" w:rsidRPr="008F4B73" w14:paraId="55781720" w14:textId="77777777" w:rsidTr="008F4B73">
        <w:trPr>
          <w:trHeight w:val="227"/>
        </w:trPr>
        <w:tc>
          <w:tcPr>
            <w:tcW w:w="3119" w:type="dxa"/>
            <w:tcBorders>
              <w:top w:val="nil"/>
              <w:bottom w:val="nil"/>
            </w:tcBorders>
            <w:shd w:val="clear" w:color="auto" w:fill="auto"/>
            <w:hideMark/>
          </w:tcPr>
          <w:p w14:paraId="07946497" w14:textId="77777777" w:rsidR="008F4B73" w:rsidRPr="008F4B73" w:rsidRDefault="008F4B73" w:rsidP="008F4B73">
            <w:pPr>
              <w:pStyle w:val="BodyTextMSOpen"/>
              <w:spacing w:after="0"/>
              <w:jc w:val="left"/>
              <w:rPr>
                <w:bCs/>
                <w:sz w:val="16"/>
              </w:rPr>
            </w:pPr>
            <w:r w:rsidRPr="008F4B73">
              <w:rPr>
                <w:bCs/>
                <w:sz w:val="16"/>
              </w:rPr>
              <w:t>I</w:t>
            </w:r>
            <w:r w:rsidRPr="008F4B73">
              <w:rPr>
                <w:bCs/>
                <w:sz w:val="16"/>
                <w:vertAlign w:val="subscript"/>
              </w:rPr>
              <w:t xml:space="preserve">ph </w:t>
            </w:r>
            <w:r w:rsidRPr="008F4B73">
              <w:rPr>
                <w:bCs/>
                <w:sz w:val="16"/>
              </w:rPr>
              <w:t>(mA)</w:t>
            </w:r>
          </w:p>
        </w:tc>
        <w:tc>
          <w:tcPr>
            <w:tcW w:w="4252" w:type="dxa"/>
            <w:tcBorders>
              <w:top w:val="nil"/>
              <w:bottom w:val="nil"/>
            </w:tcBorders>
            <w:shd w:val="clear" w:color="auto" w:fill="auto"/>
            <w:hideMark/>
          </w:tcPr>
          <w:p w14:paraId="62E3BA89" w14:textId="77777777" w:rsidR="008F4B73" w:rsidRPr="008F4B73" w:rsidRDefault="008F4B73" w:rsidP="008F4B73">
            <w:pPr>
              <w:pStyle w:val="BodyTextMSOpen"/>
              <w:spacing w:after="0"/>
              <w:jc w:val="center"/>
              <w:rPr>
                <w:sz w:val="16"/>
              </w:rPr>
            </w:pPr>
            <w:r w:rsidRPr="008F4B73">
              <w:rPr>
                <w:sz w:val="16"/>
                <w:lang w:val="id-ID"/>
              </w:rPr>
              <w:t>0,1</w:t>
            </w:r>
            <w:r w:rsidRPr="008F4B73">
              <w:rPr>
                <w:sz w:val="16"/>
              </w:rPr>
              <w:t>3</w:t>
            </w:r>
          </w:p>
        </w:tc>
      </w:tr>
      <w:tr w:rsidR="008F4B73" w:rsidRPr="008F4B73" w14:paraId="6CB75DD5" w14:textId="77777777" w:rsidTr="008F4B73">
        <w:trPr>
          <w:trHeight w:val="227"/>
        </w:trPr>
        <w:tc>
          <w:tcPr>
            <w:tcW w:w="3119" w:type="dxa"/>
            <w:tcBorders>
              <w:top w:val="nil"/>
              <w:bottom w:val="nil"/>
            </w:tcBorders>
            <w:shd w:val="clear" w:color="auto" w:fill="auto"/>
            <w:hideMark/>
          </w:tcPr>
          <w:p w14:paraId="7B1BFC0A" w14:textId="77777777" w:rsidR="008F4B73" w:rsidRPr="008F4B73" w:rsidRDefault="008F4B73" w:rsidP="008F4B73">
            <w:pPr>
              <w:pStyle w:val="BodyTextMSOpen"/>
              <w:spacing w:after="0"/>
              <w:jc w:val="left"/>
              <w:rPr>
                <w:bCs/>
                <w:sz w:val="16"/>
              </w:rPr>
            </w:pPr>
            <w:r w:rsidRPr="008F4B73">
              <w:rPr>
                <w:bCs/>
                <w:sz w:val="16"/>
              </w:rPr>
              <w:t>T (K)</w:t>
            </w:r>
          </w:p>
        </w:tc>
        <w:tc>
          <w:tcPr>
            <w:tcW w:w="4252" w:type="dxa"/>
            <w:tcBorders>
              <w:top w:val="nil"/>
              <w:bottom w:val="nil"/>
            </w:tcBorders>
            <w:shd w:val="clear" w:color="auto" w:fill="auto"/>
            <w:hideMark/>
          </w:tcPr>
          <w:p w14:paraId="7BA10E87" w14:textId="77777777" w:rsidR="008F4B73" w:rsidRPr="008F4B73" w:rsidRDefault="008F4B73" w:rsidP="008F4B73">
            <w:pPr>
              <w:pStyle w:val="BodyTextMSOpen"/>
              <w:spacing w:after="0"/>
              <w:jc w:val="center"/>
              <w:rPr>
                <w:sz w:val="16"/>
              </w:rPr>
            </w:pPr>
            <w:r w:rsidRPr="008F4B73">
              <w:rPr>
                <w:sz w:val="16"/>
                <w:lang w:val="id-ID"/>
              </w:rPr>
              <w:t>300</w:t>
            </w:r>
          </w:p>
        </w:tc>
      </w:tr>
      <w:tr w:rsidR="008F4B73" w:rsidRPr="008F4B73" w14:paraId="3085F5A8" w14:textId="77777777" w:rsidTr="008F4B73">
        <w:trPr>
          <w:trHeight w:val="227"/>
        </w:trPr>
        <w:tc>
          <w:tcPr>
            <w:tcW w:w="3119" w:type="dxa"/>
            <w:tcBorders>
              <w:top w:val="nil"/>
              <w:bottom w:val="nil"/>
            </w:tcBorders>
            <w:shd w:val="clear" w:color="auto" w:fill="auto"/>
            <w:hideMark/>
          </w:tcPr>
          <w:p w14:paraId="519799E8" w14:textId="77777777" w:rsidR="008F4B73" w:rsidRPr="008F4B73" w:rsidRDefault="008F4B73" w:rsidP="008F4B73">
            <w:pPr>
              <w:pStyle w:val="BodyTextMSOpen"/>
              <w:spacing w:after="0"/>
              <w:jc w:val="left"/>
              <w:rPr>
                <w:bCs/>
                <w:sz w:val="16"/>
              </w:rPr>
            </w:pPr>
            <w:r w:rsidRPr="008F4B73">
              <w:rPr>
                <w:bCs/>
                <w:sz w:val="16"/>
              </w:rPr>
              <w:t>I</w:t>
            </w:r>
            <w:r w:rsidRPr="008F4B73">
              <w:rPr>
                <w:bCs/>
                <w:sz w:val="16"/>
                <w:vertAlign w:val="subscript"/>
              </w:rPr>
              <w:t xml:space="preserve">sc </w:t>
            </w:r>
            <w:r w:rsidRPr="008F4B73">
              <w:rPr>
                <w:bCs/>
                <w:sz w:val="16"/>
              </w:rPr>
              <w:t>(mA)</w:t>
            </w:r>
          </w:p>
        </w:tc>
        <w:tc>
          <w:tcPr>
            <w:tcW w:w="4252" w:type="dxa"/>
            <w:tcBorders>
              <w:top w:val="nil"/>
              <w:bottom w:val="nil"/>
            </w:tcBorders>
            <w:shd w:val="clear" w:color="auto" w:fill="auto"/>
            <w:hideMark/>
          </w:tcPr>
          <w:p w14:paraId="3FF837EA" w14:textId="77777777" w:rsidR="008F4B73" w:rsidRPr="008F4B73" w:rsidRDefault="008F4B73" w:rsidP="008F4B73">
            <w:pPr>
              <w:pStyle w:val="BodyTextMSOpen"/>
              <w:spacing w:after="0"/>
              <w:jc w:val="center"/>
              <w:rPr>
                <w:sz w:val="16"/>
              </w:rPr>
            </w:pPr>
            <w:r w:rsidRPr="008F4B73">
              <w:rPr>
                <w:sz w:val="16"/>
                <w:lang w:val="id-ID"/>
              </w:rPr>
              <w:t>0,1</w:t>
            </w:r>
            <w:r w:rsidRPr="008F4B73">
              <w:rPr>
                <w:sz w:val="16"/>
              </w:rPr>
              <w:t>3</w:t>
            </w:r>
          </w:p>
        </w:tc>
      </w:tr>
      <w:tr w:rsidR="008F4B73" w:rsidRPr="008F4B73" w14:paraId="3A1D5B9F" w14:textId="77777777" w:rsidTr="008F4B73">
        <w:trPr>
          <w:trHeight w:val="227"/>
        </w:trPr>
        <w:tc>
          <w:tcPr>
            <w:tcW w:w="3119" w:type="dxa"/>
            <w:tcBorders>
              <w:top w:val="nil"/>
              <w:bottom w:val="nil"/>
            </w:tcBorders>
            <w:shd w:val="clear" w:color="auto" w:fill="auto"/>
            <w:hideMark/>
          </w:tcPr>
          <w:p w14:paraId="1E2E0C38" w14:textId="77777777" w:rsidR="008F4B73" w:rsidRPr="008F4B73" w:rsidRDefault="008F4B73" w:rsidP="008F4B73">
            <w:pPr>
              <w:pStyle w:val="BodyTextMSOpen"/>
              <w:spacing w:after="0"/>
              <w:jc w:val="left"/>
              <w:rPr>
                <w:bCs/>
                <w:sz w:val="16"/>
              </w:rPr>
            </w:pPr>
            <w:r w:rsidRPr="008F4B73">
              <w:rPr>
                <w:bCs/>
                <w:sz w:val="16"/>
              </w:rPr>
              <w:t>V</w:t>
            </w:r>
            <w:r w:rsidRPr="008F4B73">
              <w:rPr>
                <w:bCs/>
                <w:sz w:val="16"/>
                <w:vertAlign w:val="subscript"/>
              </w:rPr>
              <w:t>oc</w:t>
            </w:r>
            <w:r w:rsidRPr="008F4B73">
              <w:rPr>
                <w:bCs/>
                <w:sz w:val="16"/>
              </w:rPr>
              <w:t xml:space="preserve"> (V)</w:t>
            </w:r>
          </w:p>
        </w:tc>
        <w:tc>
          <w:tcPr>
            <w:tcW w:w="4252" w:type="dxa"/>
            <w:tcBorders>
              <w:top w:val="nil"/>
              <w:bottom w:val="nil"/>
            </w:tcBorders>
            <w:shd w:val="clear" w:color="auto" w:fill="auto"/>
            <w:hideMark/>
          </w:tcPr>
          <w:p w14:paraId="6797802E" w14:textId="77777777" w:rsidR="008F4B73" w:rsidRPr="008F4B73" w:rsidRDefault="008F4B73" w:rsidP="008F4B73">
            <w:pPr>
              <w:pStyle w:val="BodyTextMSOpen"/>
              <w:spacing w:after="0"/>
              <w:jc w:val="center"/>
              <w:rPr>
                <w:sz w:val="16"/>
              </w:rPr>
            </w:pPr>
            <w:r w:rsidRPr="008F4B73">
              <w:rPr>
                <w:sz w:val="16"/>
                <w:lang w:val="id-ID"/>
              </w:rPr>
              <w:t>0,41</w:t>
            </w:r>
          </w:p>
        </w:tc>
      </w:tr>
      <w:tr w:rsidR="008F4B73" w:rsidRPr="008F4B73" w14:paraId="7B7E2B06" w14:textId="77777777" w:rsidTr="008F4B73">
        <w:trPr>
          <w:trHeight w:val="227"/>
        </w:trPr>
        <w:tc>
          <w:tcPr>
            <w:tcW w:w="3119" w:type="dxa"/>
            <w:tcBorders>
              <w:top w:val="nil"/>
              <w:bottom w:val="nil"/>
            </w:tcBorders>
            <w:shd w:val="clear" w:color="auto" w:fill="auto"/>
            <w:hideMark/>
          </w:tcPr>
          <w:p w14:paraId="1350C6B8" w14:textId="77777777" w:rsidR="008F4B73" w:rsidRPr="008F4B73" w:rsidRDefault="008F4B73" w:rsidP="008F4B73">
            <w:pPr>
              <w:pStyle w:val="BodyTextMSOpen"/>
              <w:spacing w:after="0"/>
              <w:jc w:val="left"/>
              <w:rPr>
                <w:bCs/>
                <w:sz w:val="16"/>
              </w:rPr>
            </w:pPr>
            <w:r w:rsidRPr="008F4B73">
              <w:rPr>
                <w:bCs/>
                <w:sz w:val="16"/>
              </w:rPr>
              <w:t>Pmax (W/m</w:t>
            </w:r>
            <w:r w:rsidRPr="008F4B73">
              <w:rPr>
                <w:bCs/>
                <w:sz w:val="16"/>
                <w:vertAlign w:val="superscript"/>
              </w:rPr>
              <w:t>2</w:t>
            </w:r>
            <w:r w:rsidRPr="008F4B73">
              <w:rPr>
                <w:bCs/>
                <w:sz w:val="16"/>
              </w:rPr>
              <w:t>)</w:t>
            </w:r>
          </w:p>
        </w:tc>
        <w:tc>
          <w:tcPr>
            <w:tcW w:w="4252" w:type="dxa"/>
            <w:tcBorders>
              <w:top w:val="nil"/>
              <w:bottom w:val="nil"/>
            </w:tcBorders>
            <w:shd w:val="clear" w:color="auto" w:fill="auto"/>
            <w:hideMark/>
          </w:tcPr>
          <w:p w14:paraId="1CE44029" w14:textId="77777777" w:rsidR="008F4B73" w:rsidRPr="008F4B73" w:rsidRDefault="008F4B73" w:rsidP="008F4B73">
            <w:pPr>
              <w:pStyle w:val="BodyTextMSOpen"/>
              <w:spacing w:after="0"/>
              <w:jc w:val="center"/>
              <w:rPr>
                <w:sz w:val="16"/>
              </w:rPr>
            </w:pPr>
            <w:r w:rsidRPr="008F4B73">
              <w:rPr>
                <w:sz w:val="16"/>
                <w:lang w:val="id-ID"/>
              </w:rPr>
              <w:t>0,91</w:t>
            </w:r>
          </w:p>
        </w:tc>
      </w:tr>
      <w:tr w:rsidR="008F4B73" w:rsidRPr="008F4B73" w14:paraId="0237CFD2" w14:textId="77777777" w:rsidTr="008F4B73">
        <w:trPr>
          <w:trHeight w:val="227"/>
        </w:trPr>
        <w:tc>
          <w:tcPr>
            <w:tcW w:w="3119" w:type="dxa"/>
            <w:tcBorders>
              <w:top w:val="nil"/>
              <w:bottom w:val="nil"/>
            </w:tcBorders>
            <w:shd w:val="clear" w:color="auto" w:fill="auto"/>
            <w:hideMark/>
          </w:tcPr>
          <w:p w14:paraId="324585FC" w14:textId="77777777" w:rsidR="008F4B73" w:rsidRPr="008F4B73" w:rsidRDefault="008F4B73" w:rsidP="008F4B73">
            <w:pPr>
              <w:pStyle w:val="BodyTextMSOpen"/>
              <w:spacing w:after="0"/>
              <w:jc w:val="left"/>
              <w:rPr>
                <w:bCs/>
                <w:sz w:val="16"/>
              </w:rPr>
            </w:pPr>
            <w:r w:rsidRPr="008F4B73">
              <w:rPr>
                <w:bCs/>
                <w:sz w:val="16"/>
              </w:rPr>
              <w:t>FF</w:t>
            </w:r>
          </w:p>
        </w:tc>
        <w:tc>
          <w:tcPr>
            <w:tcW w:w="4252" w:type="dxa"/>
            <w:tcBorders>
              <w:top w:val="nil"/>
              <w:bottom w:val="nil"/>
            </w:tcBorders>
            <w:shd w:val="clear" w:color="auto" w:fill="auto"/>
            <w:hideMark/>
          </w:tcPr>
          <w:p w14:paraId="3031D151" w14:textId="77777777" w:rsidR="008F4B73" w:rsidRPr="008F4B73" w:rsidRDefault="008F4B73" w:rsidP="008F4B73">
            <w:pPr>
              <w:pStyle w:val="BodyTextMSOpen"/>
              <w:spacing w:after="0"/>
              <w:jc w:val="center"/>
              <w:rPr>
                <w:sz w:val="16"/>
              </w:rPr>
            </w:pPr>
            <w:r w:rsidRPr="008F4B73">
              <w:rPr>
                <w:sz w:val="16"/>
                <w:lang w:val="id-ID"/>
              </w:rPr>
              <w:t>0,4324</w:t>
            </w:r>
          </w:p>
        </w:tc>
      </w:tr>
      <w:tr w:rsidR="008F4B73" w:rsidRPr="008F4B73" w14:paraId="4A1B6E5B" w14:textId="77777777" w:rsidTr="008F4B73">
        <w:trPr>
          <w:trHeight w:val="227"/>
        </w:trPr>
        <w:tc>
          <w:tcPr>
            <w:tcW w:w="3119" w:type="dxa"/>
            <w:tcBorders>
              <w:top w:val="nil"/>
              <w:bottom w:val="single" w:sz="4" w:space="0" w:color="7F7F7F"/>
            </w:tcBorders>
            <w:shd w:val="clear" w:color="auto" w:fill="auto"/>
            <w:hideMark/>
          </w:tcPr>
          <w:p w14:paraId="322C5207" w14:textId="77777777" w:rsidR="008F4B73" w:rsidRPr="008F4B73" w:rsidRDefault="008F4B73" w:rsidP="008F4B73">
            <w:pPr>
              <w:pStyle w:val="BodyTextMSOpen"/>
              <w:spacing w:after="0"/>
              <w:jc w:val="left"/>
              <w:rPr>
                <w:bCs/>
                <w:sz w:val="16"/>
              </w:rPr>
            </w:pPr>
            <w:r w:rsidRPr="008F4B73">
              <w:rPr>
                <w:bCs/>
                <w:sz w:val="16"/>
              </w:rPr>
              <w:t>Effisiensi (%)</w:t>
            </w:r>
          </w:p>
        </w:tc>
        <w:tc>
          <w:tcPr>
            <w:tcW w:w="4252" w:type="dxa"/>
            <w:tcBorders>
              <w:top w:val="nil"/>
              <w:bottom w:val="single" w:sz="4" w:space="0" w:color="7F7F7F"/>
            </w:tcBorders>
            <w:shd w:val="clear" w:color="auto" w:fill="auto"/>
            <w:hideMark/>
          </w:tcPr>
          <w:p w14:paraId="6953ACDC" w14:textId="77777777" w:rsidR="008F4B73" w:rsidRPr="008F4B73" w:rsidRDefault="008F4B73" w:rsidP="008F4B73">
            <w:pPr>
              <w:pStyle w:val="BodyTextMSOpen"/>
              <w:spacing w:after="0"/>
              <w:jc w:val="center"/>
              <w:rPr>
                <w:sz w:val="16"/>
              </w:rPr>
            </w:pPr>
            <w:r w:rsidRPr="008F4B73">
              <w:rPr>
                <w:sz w:val="16"/>
                <w:lang w:val="id-ID"/>
              </w:rPr>
              <w:t>0,091</w:t>
            </w:r>
          </w:p>
        </w:tc>
      </w:tr>
    </w:tbl>
    <w:p w14:paraId="247449BC" w14:textId="43894DA7" w:rsidR="008F4B73" w:rsidRPr="008F4B73" w:rsidRDefault="008F4B73" w:rsidP="00E54B24">
      <w:pPr>
        <w:pStyle w:val="BodyTextMSOpen"/>
        <w:rPr>
          <w:sz w:val="16"/>
        </w:rPr>
      </w:pPr>
      <w:r>
        <w:rPr>
          <w:b/>
          <w:sz w:val="16"/>
        </w:rPr>
        <w:t xml:space="preserve">Tabel 1. </w:t>
      </w:r>
      <w:r>
        <w:rPr>
          <w:sz w:val="16"/>
        </w:rPr>
        <w:t>Parameter hasil fitting kurva I-V DSSC dengan persamaan Shockley</w:t>
      </w:r>
    </w:p>
    <w:p w14:paraId="744AA01A" w14:textId="2B14961B" w:rsidR="008F4B73" w:rsidRDefault="008F4B73" w:rsidP="008F4B73">
      <w:pPr>
        <w:pStyle w:val="BodyTextMSOpen"/>
        <w:spacing w:after="0"/>
      </w:pPr>
      <w:r>
        <w:rPr>
          <w:noProof/>
          <w:lang w:val="id-ID" w:eastAsia="id-ID"/>
        </w:rPr>
        <w:lastRenderedPageBreak/>
        <w:drawing>
          <wp:inline distT="0" distB="0" distL="0" distR="0" wp14:anchorId="2484F9F8" wp14:editId="28D8BA67">
            <wp:extent cx="4633237" cy="3546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Fix_SiPhotowatt_Mo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84171" cy="3585267"/>
                    </a:xfrm>
                    <a:prstGeom prst="rect">
                      <a:avLst/>
                    </a:prstGeom>
                  </pic:spPr>
                </pic:pic>
              </a:graphicData>
            </a:graphic>
          </wp:inline>
        </w:drawing>
      </w:r>
    </w:p>
    <w:p w14:paraId="4FCF40F5" w14:textId="1C32118A" w:rsidR="008F4B73" w:rsidRDefault="008F4B73" w:rsidP="008F4B73">
      <w:pPr>
        <w:pStyle w:val="BodyTextMSOpen"/>
      </w:pPr>
      <w:r w:rsidRPr="008F4B73">
        <w:rPr>
          <w:b/>
          <w:sz w:val="16"/>
        </w:rPr>
        <w:t>Gambar 1.</w:t>
      </w:r>
      <w:r w:rsidRPr="008F4B73">
        <w:rPr>
          <w:sz w:val="16"/>
        </w:rPr>
        <w:t xml:space="preserve"> Kurva fitting I-V Silicon solar cell (R.T.C France) dengan persamaan Shockley</w:t>
      </w:r>
    </w:p>
    <w:p w14:paraId="47D79A26" w14:textId="77777777" w:rsidR="008F4B73" w:rsidRDefault="008F4B73" w:rsidP="008F4B73">
      <w:pPr>
        <w:pStyle w:val="BodyTextMSOpen"/>
        <w:jc w:val="center"/>
      </w:pPr>
    </w:p>
    <w:p w14:paraId="27A126C1" w14:textId="66F1162C" w:rsidR="002D70F7" w:rsidRPr="002D70F7" w:rsidRDefault="002D70F7" w:rsidP="00E54B24">
      <w:pPr>
        <w:pStyle w:val="BodyTextMSOpen"/>
      </w:pPr>
      <w:r>
        <w:rPr>
          <w:b/>
        </w:rPr>
        <w:t xml:space="preserve">Penting! </w:t>
      </w:r>
      <w:r>
        <w:t>Untuk menggunakan gambar dan tabel yang telah dipublikasikan harus meminta izin pada pemegang hak cipta baik dalam format cetak dan online, serta menyisipkan kutipan.</w:t>
      </w:r>
    </w:p>
    <w:p w14:paraId="00524F46" w14:textId="31E07035" w:rsidR="00E54B24" w:rsidRDefault="002D70F7" w:rsidP="00E54B24">
      <w:pPr>
        <w:pStyle w:val="Heading2MSOpen"/>
      </w:pPr>
      <w:r>
        <w:t>Video</w:t>
      </w:r>
    </w:p>
    <w:p w14:paraId="7479EFF2" w14:textId="2A75AE63" w:rsidR="002D70F7" w:rsidRDefault="002D70F7" w:rsidP="006C69B4">
      <w:pPr>
        <w:pStyle w:val="BodyTextMSOpen"/>
      </w:pPr>
      <w:r>
        <w:t xml:space="preserve">Anda </w:t>
      </w:r>
      <w:r w:rsidR="005C0A34">
        <w:t xml:space="preserve">dapat mengirimkan materi video tambahan untuk bab Anda </w:t>
      </w:r>
      <w:r w:rsidR="005C0A34" w:rsidRPr="006C69B4">
        <w:t>yang</w:t>
      </w:r>
      <w:r w:rsidR="005C0A34">
        <w:t xml:space="preserve"> akan muncul dalam buku versi online. Format video yang diizinkan : QuickTime movie (.mov); Audio file (.wav); MPEG/MPG animation (.mpg, .mp4) Ukuran maksimum: 100</w:t>
      </w:r>
      <w:r w:rsidR="00FD784D">
        <w:t xml:space="preserve"> </w:t>
      </w:r>
      <w:r w:rsidR="005C0A34">
        <w:t>MB.</w:t>
      </w:r>
    </w:p>
    <w:p w14:paraId="2EC593AD" w14:textId="6D40DE53" w:rsidR="005C0A34" w:rsidRDefault="005C0A34" w:rsidP="005C0A34">
      <w:pPr>
        <w:pStyle w:val="BodyTextMSOpen"/>
      </w:pPr>
      <w:r>
        <w:t>Harap dicatat bahwa video dan audio tidak dapat disematkan pada buku versi cetak. Video harus dikirim sebagai file terpisah dalam arsip zip. Semua video harus dikutip dalam naskah (misal. Video 1, Video 2, dll) diikuti sumber alamat.</w:t>
      </w:r>
    </w:p>
    <w:p w14:paraId="6C9E124E" w14:textId="1D9F5F68" w:rsidR="005C0A34" w:rsidRDefault="005C0A34" w:rsidP="005C0A34">
      <w:pPr>
        <w:pStyle w:val="BodyTextMSOpen"/>
      </w:pPr>
      <w:r>
        <w:t xml:space="preserve">Contoh: </w:t>
      </w:r>
      <w:r w:rsidR="00C915D0">
        <w:t>Video 1 tersedia dari (dapat dilihat) http://bit.ly/29nKuLh.</w:t>
      </w:r>
    </w:p>
    <w:p w14:paraId="2E4A5281" w14:textId="6A0D2997" w:rsidR="00E54B24" w:rsidRDefault="00C915D0" w:rsidP="00E54B24">
      <w:pPr>
        <w:pStyle w:val="Heading2MSOpen"/>
      </w:pPr>
      <w:r>
        <w:rPr>
          <w:lang w:val="en-US"/>
        </w:rPr>
        <w:t>Persamaan</w:t>
      </w:r>
    </w:p>
    <w:p w14:paraId="121F74A9" w14:textId="20B16882" w:rsidR="00E22843" w:rsidRDefault="009E2428" w:rsidP="00E54B24">
      <w:pPr>
        <w:pStyle w:val="BodyTextMSOpen"/>
      </w:pPr>
      <w:r>
        <w:t xml:space="preserve">Persamaan menggunakan program </w:t>
      </w:r>
      <w:r>
        <w:rPr>
          <w:i/>
        </w:rPr>
        <w:t>equation-editor</w:t>
      </w:r>
      <w:r>
        <w:t xml:space="preserve"> seperti “MathType” atau “Microsoft equation</w:t>
      </w:r>
      <w:r w:rsidR="008F4B73">
        <w:t xml:space="preserve"> 3.0</w:t>
      </w:r>
      <w:r>
        <w:t xml:space="preserve">”. </w:t>
      </w:r>
    </w:p>
    <w:p w14:paraId="5075C22B" w14:textId="4E517D7D" w:rsidR="00C915D0" w:rsidRDefault="00AE6BDC" w:rsidP="00E54B24">
      <w:pPr>
        <w:pStyle w:val="BodyTextMSOpen"/>
      </w:pPr>
      <w:r>
        <w:lastRenderedPageBreak/>
        <w:t xml:space="preserve">Manuskrip dengan persamaan yang diimpor dari format gambar (sepeti .jpeg, .tiff) TIDAK diterima dan akan dikembalikan pada penulis untuk </w:t>
      </w:r>
      <w:r w:rsidR="00E22843">
        <w:t>dikoreksi. Persamaan dinomori secara berurutan disebalah kiri dengan menggunakan tanda kurung (seperti (1)). Ketika mengutip persamaan pada naskah menggunkan tulisan (seperti Persamaan 1).</w:t>
      </w:r>
    </w:p>
    <w:p w14:paraId="2747FB1B" w14:textId="3114AF16" w:rsidR="00A03266" w:rsidRDefault="00A03266" w:rsidP="00E54B24">
      <w:pPr>
        <w:pStyle w:val="BodyTextMSOpen"/>
      </w:pPr>
      <w:r>
        <w:t xml:space="preserve">Contoh: </w:t>
      </w:r>
    </w:p>
    <w:p w14:paraId="018DBAA2" w14:textId="12F77EE2" w:rsidR="008F4B73" w:rsidRDefault="008F4B73" w:rsidP="008F4B73">
      <w:pPr>
        <w:pStyle w:val="BodyTextMSOpen"/>
        <w:jc w:val="right"/>
      </w:pPr>
      <w:r w:rsidRPr="00C82D53">
        <w:rPr>
          <w:position w:val="-34"/>
        </w:rPr>
        <w:object w:dxaOrig="4340" w:dyaOrig="800" w14:anchorId="596E1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65pt;height:31.95pt" o:ole="">
            <v:imagedata r:id="rId7" o:title=""/>
          </v:shape>
          <o:OLEObject Type="Embed" ProgID="Equation.DSMT4" ShapeID="_x0000_i1025" DrawAspect="Content" ObjectID="_1606740210" r:id="rId8"/>
        </w:object>
      </w:r>
      <w:r>
        <w:tab/>
      </w:r>
      <w:r>
        <w:tab/>
      </w:r>
      <w:r>
        <w:tab/>
        <w:t>(1)</w:t>
      </w:r>
    </w:p>
    <w:p w14:paraId="3BCB5149" w14:textId="77777777" w:rsidR="00AA7400" w:rsidRPr="009E2428" w:rsidRDefault="00AA7400" w:rsidP="008F4B73">
      <w:pPr>
        <w:pStyle w:val="BodyTextMSOpen"/>
        <w:jc w:val="right"/>
      </w:pPr>
    </w:p>
    <w:p w14:paraId="3AE25949" w14:textId="44AC4D77" w:rsidR="00E54B24" w:rsidRDefault="00E22843" w:rsidP="00E54B24">
      <w:pPr>
        <w:pStyle w:val="Heading2MSOpen"/>
      </w:pPr>
      <w:r>
        <w:rPr>
          <w:lang w:val="en-US"/>
        </w:rPr>
        <w:t>Akronim dan Singkatan</w:t>
      </w:r>
    </w:p>
    <w:p w14:paraId="7DDD5B49" w14:textId="17417358" w:rsidR="00E22843" w:rsidRDefault="00E22843" w:rsidP="00E54B24">
      <w:pPr>
        <w:pStyle w:val="BodyTextMSOpen"/>
      </w:pPr>
      <w:r>
        <w:t>Eja akronim pertama yang digunakan diikuti singkatan dalam tanda kurung.</w:t>
      </w:r>
    </w:p>
    <w:p w14:paraId="7CAFE7A3" w14:textId="2BB1332E" w:rsidR="00E22843" w:rsidRDefault="003A7B9A" w:rsidP="00E54B24">
      <w:pPr>
        <w:pStyle w:val="BodyTextMSOpen"/>
      </w:pPr>
      <w:r>
        <w:t>Jika istilah/ kepanjangan menunjukkan kata benda (seperti nama organisasi, universitas, dan sebagainya) harus menggunakan huruf besar diawal kata</w:t>
      </w:r>
    </w:p>
    <w:p w14:paraId="48052B8D" w14:textId="09F99B7B" w:rsidR="003A7B9A" w:rsidRDefault="003A7B9A" w:rsidP="00E54B24">
      <w:pPr>
        <w:pStyle w:val="BodyTextMSOpen"/>
      </w:pPr>
      <w:r>
        <w:t>Contoh: Radio Republik Indonesia (RRI), Universitas Negeri Malang (UM).</w:t>
      </w:r>
    </w:p>
    <w:p w14:paraId="4F53E168" w14:textId="4D68B24A" w:rsidR="00E54B24" w:rsidRDefault="003A7B9A" w:rsidP="003A7B9A">
      <w:pPr>
        <w:pStyle w:val="BodyTextMSOpen"/>
        <w:ind w:left="0"/>
      </w:pPr>
      <w:r>
        <w:t>Dalam kasus kepanjangan akronim normal dan bukan kata benda ditulis dengan kata biasa. Contoh: standar operasional prosedur (SOP).</w:t>
      </w:r>
    </w:p>
    <w:p w14:paraId="429819AD" w14:textId="61E91DFE" w:rsidR="00E54B24" w:rsidRDefault="003A7B9A" w:rsidP="003A7B9A">
      <w:pPr>
        <w:pStyle w:val="BodyTextMSOpen"/>
        <w:ind w:left="0"/>
      </w:pPr>
      <w:r>
        <w:t>Akronim yang umum digunakan tidak perlu dijelaskan (seperti WHO, UNICEF, dsb).</w:t>
      </w:r>
    </w:p>
    <w:p w14:paraId="601DCA27" w14:textId="296B4E4D" w:rsidR="00E54B24" w:rsidRDefault="003A7B9A" w:rsidP="00E54B24">
      <w:pPr>
        <w:pStyle w:val="Heading2MSOpen"/>
      </w:pPr>
      <w:r>
        <w:rPr>
          <w:lang w:val="en-US"/>
        </w:rPr>
        <w:t>Sub</w:t>
      </w:r>
      <w:r w:rsidR="00A03266">
        <w:rPr>
          <w:lang w:val="en-US"/>
        </w:rPr>
        <w:t>bagian</w:t>
      </w:r>
    </w:p>
    <w:p w14:paraId="1F686C9C" w14:textId="020D423B" w:rsidR="003A7B9A" w:rsidRDefault="003A7B9A" w:rsidP="00A03266">
      <w:pPr>
        <w:pStyle w:val="BodyTextMSOpen"/>
      </w:pPr>
      <w:r>
        <w:t>Bab Anda akan dibagi dalam sub</w:t>
      </w:r>
      <w:r w:rsidR="00A03266">
        <w:t xml:space="preserve">bagian. </w:t>
      </w:r>
    </w:p>
    <w:p w14:paraId="51B285A8" w14:textId="1614E824" w:rsidR="00A03266" w:rsidRDefault="00F810E5" w:rsidP="00A03266">
      <w:pPr>
        <w:pStyle w:val="BodyTextMSOpen"/>
      </w:pPr>
      <w:r>
        <w:t>Format subbab dibuat dengan memblok teks subab dan menerapkan Word style yang sesuai (</w:t>
      </w:r>
      <w:r w:rsidRPr="006C69B4">
        <w:rPr>
          <w:b/>
        </w:rPr>
        <w:t>Home &gt; Styles</w:t>
      </w:r>
      <w:r w:rsidR="006C69B4">
        <w:t xml:space="preserve"> atau </w:t>
      </w:r>
      <w:r w:rsidR="006C69B4">
        <w:rPr>
          <w:b/>
        </w:rPr>
        <w:t>Ctrl+Shift+Alt+S</w:t>
      </w:r>
      <w:r w:rsidR="006C69B4">
        <w:t>)</w:t>
      </w:r>
      <w:r>
        <w:t>. Judul bagian subab utama dengan menerapkan style Heading 1 MSOpen. Subbagian dengan menerapkan style Heading 2 MSOpen, untuk sub-subbagian diterapkan style Heading 3 MSOpen.</w:t>
      </w:r>
    </w:p>
    <w:p w14:paraId="527A9C84" w14:textId="77777777" w:rsidR="00AA7400" w:rsidRDefault="00F810E5" w:rsidP="00AA7400">
      <w:pPr>
        <w:pStyle w:val="BodyTextMSOpen"/>
      </w:pPr>
      <w:r>
        <w:t>Contoh:</w:t>
      </w:r>
    </w:p>
    <w:p w14:paraId="3E71CE0A" w14:textId="7D8C51B8" w:rsidR="00AA7400" w:rsidRDefault="00BC2AFE" w:rsidP="00B52840">
      <w:pPr>
        <w:pStyle w:val="Heading1MSOpen"/>
      </w:pPr>
      <w:r w:rsidRPr="00BC2AFE">
        <w:tab/>
      </w:r>
      <w:r w:rsidRPr="00AA7400">
        <w:t>1.</w:t>
      </w:r>
      <w:r>
        <w:t xml:space="preserve"> Pendahuluan (Heading 1 MSOpen)</w:t>
      </w:r>
    </w:p>
    <w:p w14:paraId="0B27F569" w14:textId="23C4BB92" w:rsidR="006C69B4" w:rsidRPr="006C69B4" w:rsidRDefault="006C69B4" w:rsidP="006C69B4">
      <w:pPr>
        <w:pStyle w:val="BodyTextMSOpen"/>
      </w:pPr>
      <w:r>
        <w:t xml:space="preserve">Ganti keseluruhan teks ini dengan </w:t>
      </w:r>
      <w:r>
        <w:rPr>
          <w:b/>
        </w:rPr>
        <w:t>pendahuluan</w:t>
      </w:r>
      <w:r>
        <w:t xml:space="preserve"> bab Anda. Bagian pendahuluan sebaiknya berisi konteks dari manuskrip Anda dan diberi nomor sebagai judul pertama. Ketika mempersiapkan pendahuluan, perhatikan bahwa tidak semua pembaca mahir dibidang penelitian Anda. (Body Text (MSOpen))</w:t>
      </w:r>
    </w:p>
    <w:p w14:paraId="40C44D8A" w14:textId="77777777" w:rsidR="00AA7400" w:rsidRDefault="00BC2AFE" w:rsidP="00B52840">
      <w:pPr>
        <w:pStyle w:val="Heading1MSOpen"/>
      </w:pPr>
      <w:r>
        <w:lastRenderedPageBreak/>
        <w:t>2. Metode (Heading 1 MSOpen)</w:t>
      </w:r>
    </w:p>
    <w:p w14:paraId="5D85AFEA" w14:textId="77777777" w:rsidR="00AA7400" w:rsidRDefault="00BC2AFE" w:rsidP="00B52840">
      <w:pPr>
        <w:pStyle w:val="Heading2MSOpen"/>
      </w:pPr>
      <w:r>
        <w:t>2.1 Sintesis nanopartikel Ag dengan konsentrasi MSA (Heading 2 MSOpen)</w:t>
      </w:r>
    </w:p>
    <w:p w14:paraId="41F90118" w14:textId="77777777" w:rsidR="00AA7400" w:rsidRDefault="00BC2AFE" w:rsidP="00B52840">
      <w:pPr>
        <w:pStyle w:val="Heading2MSOpen"/>
      </w:pPr>
      <w:r>
        <w:t>2.2 Sintesis lapisan PANI AgNp (Heading 2 MSOpen)</w:t>
      </w:r>
    </w:p>
    <w:p w14:paraId="36494BC7" w14:textId="77777777" w:rsidR="00AA7400" w:rsidRDefault="00BC2AFE" w:rsidP="006C69B4">
      <w:pPr>
        <w:pStyle w:val="Heading3MSOpen"/>
      </w:pPr>
      <w:r>
        <w:t>2.</w:t>
      </w:r>
      <w:r w:rsidR="00AA7400">
        <w:t>2.1</w:t>
      </w:r>
      <w:r>
        <w:t xml:space="preserve"> Sintesis lapisan flavonoid JML AgNp dan PIW AgNp (Heading </w:t>
      </w:r>
      <w:r w:rsidR="00AA7400">
        <w:t>3</w:t>
      </w:r>
      <w:r>
        <w:t xml:space="preserve"> MSOpen)</w:t>
      </w:r>
    </w:p>
    <w:p w14:paraId="6BC22AF9" w14:textId="77777777" w:rsidR="00AA7400" w:rsidRDefault="00BC2AFE" w:rsidP="00B52840">
      <w:pPr>
        <w:pStyle w:val="Heading1MSOpen"/>
      </w:pPr>
      <w:r>
        <w:t>3. Hasil dan Pembahasan (Heading 1 MSOpen)</w:t>
      </w:r>
    </w:p>
    <w:p w14:paraId="7A9CDC98" w14:textId="120807CA" w:rsidR="00AC0576" w:rsidRDefault="00BC2AFE" w:rsidP="00B52840">
      <w:pPr>
        <w:pStyle w:val="Heading1MSOpen"/>
      </w:pPr>
      <w:r>
        <w:t>4. Kesimpulan (Heading 1 MSOpen)</w:t>
      </w:r>
    </w:p>
    <w:p w14:paraId="591F8069" w14:textId="77777777" w:rsidR="00B52840" w:rsidRDefault="00B52840" w:rsidP="00B52840">
      <w:pPr>
        <w:pStyle w:val="Heading1MSOpen"/>
      </w:pPr>
    </w:p>
    <w:p w14:paraId="570AC782" w14:textId="4FC73D52" w:rsidR="00E54B24" w:rsidRDefault="00AC0576" w:rsidP="00BC2AFE">
      <w:pPr>
        <w:pStyle w:val="Heading2MSOpen"/>
        <w:ind w:left="0" w:firstLine="0"/>
      </w:pPr>
      <w:r>
        <w:rPr>
          <w:lang w:val="en-US"/>
        </w:rPr>
        <w:t>Apendik</w:t>
      </w:r>
      <w:r w:rsidR="00FD784D">
        <w:rPr>
          <w:lang w:val="en-US"/>
        </w:rPr>
        <w:t>s</w:t>
      </w:r>
      <w:r>
        <w:rPr>
          <w:lang w:val="en-US"/>
        </w:rPr>
        <w:t xml:space="preserve"> dan nomenklatur</w:t>
      </w:r>
    </w:p>
    <w:p w14:paraId="71C73019" w14:textId="095A0846" w:rsidR="00AC0576" w:rsidRDefault="00AC0576" w:rsidP="00E54B24">
      <w:pPr>
        <w:pStyle w:val="BodyTextMSOpen"/>
      </w:pPr>
      <w:r>
        <w:t>Letakkan apendik dan nomenklatur sebelum daftar Referensi.</w:t>
      </w:r>
    </w:p>
    <w:p w14:paraId="0AFDD91F" w14:textId="04AC6119" w:rsidR="00E54B24" w:rsidRDefault="00AC0576" w:rsidP="00E54B24">
      <w:pPr>
        <w:pStyle w:val="Heading2MSOpen"/>
      </w:pPr>
      <w:r>
        <w:rPr>
          <w:lang w:val="en-US"/>
        </w:rPr>
        <w:t>Kesimpulan</w:t>
      </w:r>
    </w:p>
    <w:p w14:paraId="2C539146" w14:textId="73C16ABD" w:rsidR="00AC0576" w:rsidRDefault="00AC0576" w:rsidP="00E54B24">
      <w:pPr>
        <w:pStyle w:val="BodyTextMSOpen"/>
      </w:pPr>
      <w:r>
        <w:t xml:space="preserve">Kesimpulan berisi mengenai rangkuman dari konten dalam </w:t>
      </w:r>
      <w:r w:rsidRPr="00AC0576">
        <w:rPr>
          <w:i/>
        </w:rPr>
        <w:t>book chapter</w:t>
      </w:r>
      <w:r>
        <w:t>.</w:t>
      </w:r>
    </w:p>
    <w:p w14:paraId="574185A4" w14:textId="4A0B7A4C" w:rsidR="00E54B24" w:rsidRDefault="00E760FB" w:rsidP="00E54B24">
      <w:pPr>
        <w:pStyle w:val="Heading1MSOpen"/>
      </w:pPr>
      <w:r>
        <w:t>Konflik Kepentingan</w:t>
      </w:r>
    </w:p>
    <w:p w14:paraId="07B0CDDB" w14:textId="42419224" w:rsidR="00E54B24" w:rsidRDefault="00E760FB" w:rsidP="00E54B24">
      <w:pPr>
        <w:pStyle w:val="BodyTextMSOpen"/>
      </w:pPr>
      <w:r>
        <w:t>Ganti keseluruhan dengan dengan konflik kepentingan yang digunakan.</w:t>
      </w:r>
      <w:r w:rsidR="00FD784D">
        <w:t xml:space="preserve"> Deklarasikan secara tertulis pernyataan ada/ tidak ada “conflict of interest” dengan authors terkait atau pihak lain.</w:t>
      </w:r>
    </w:p>
    <w:p w14:paraId="24D605E7" w14:textId="75CF6F0F" w:rsidR="00E54B24" w:rsidRDefault="00E760FB" w:rsidP="00E54B24">
      <w:pPr>
        <w:pStyle w:val="Heading1MSOpen"/>
      </w:pPr>
      <w:r>
        <w:t>Catatan/ Terima Kasih/ Deklarasi lain</w:t>
      </w:r>
    </w:p>
    <w:p w14:paraId="41AD435D" w14:textId="0570F444" w:rsidR="00E54B24" w:rsidRDefault="00E760FB" w:rsidP="00E54B24">
      <w:pPr>
        <w:pStyle w:val="BodyTextMSOpen"/>
      </w:pPr>
      <w:r>
        <w:t xml:space="preserve">Tempatkan deklarasi lainnya, seperti “catatan”, “Terima Kasih”, dsb sebelum bagian referensi. </w:t>
      </w:r>
    </w:p>
    <w:p w14:paraId="2EFE1576" w14:textId="5214DBBA" w:rsidR="00E54B24" w:rsidRDefault="00E760FB" w:rsidP="00E54B24">
      <w:pPr>
        <w:pStyle w:val="Heading1MSOpen"/>
      </w:pPr>
      <w:r>
        <w:t>Referensi</w:t>
      </w:r>
    </w:p>
    <w:p w14:paraId="39647BE4" w14:textId="65A8B441" w:rsidR="00AE2CBE" w:rsidRDefault="00AE2CBE" w:rsidP="00E54B24">
      <w:pPr>
        <w:pStyle w:val="BodyTextMSOpen"/>
      </w:pPr>
      <w:r>
        <w:t xml:space="preserve">Penulisan kutipan dan daftar referensi sebaiknya menggunakan perangkat lunak kutipan seperti </w:t>
      </w:r>
      <w:r>
        <w:rPr>
          <w:b/>
        </w:rPr>
        <w:t>Mendeley, Zotero, Reference (MS Word) dan sebagainya</w:t>
      </w:r>
      <w:r>
        <w:t xml:space="preserve">, menggunakan format style </w:t>
      </w:r>
      <w:r w:rsidR="00C10E2A">
        <w:rPr>
          <w:b/>
        </w:rPr>
        <w:t>Elsevier-</w:t>
      </w:r>
      <w:r w:rsidR="00F330EF">
        <w:rPr>
          <w:b/>
        </w:rPr>
        <w:t>Vancouver</w:t>
      </w:r>
      <w:r>
        <w:t>.</w:t>
      </w:r>
    </w:p>
    <w:p w14:paraId="421EEDCC" w14:textId="527A5039" w:rsidR="00E760FB" w:rsidRDefault="00E35E53" w:rsidP="00E54B24">
      <w:pPr>
        <w:pStyle w:val="BodyTextMSOpen"/>
      </w:pPr>
      <w:r>
        <w:t xml:space="preserve">Ganti keseluruhan teks ini dengan </w:t>
      </w:r>
      <w:r>
        <w:rPr>
          <w:b/>
        </w:rPr>
        <w:t xml:space="preserve">referensi </w:t>
      </w:r>
      <w:r>
        <w:t>Anda.</w:t>
      </w:r>
      <w:r w:rsidR="00F27D04">
        <w:t xml:space="preserve"> Layout</w:t>
      </w:r>
      <w:r>
        <w:t xml:space="preserve"> </w:t>
      </w:r>
      <w:r w:rsidR="00F27D04">
        <w:t>MS</w:t>
      </w:r>
      <w:r w:rsidRPr="00E35E53">
        <w:t xml:space="preserve">Open Book Chapter menggunakan metode kutipan bernomor untuk format referensi, dengan penomoran berurutan dalam </w:t>
      </w:r>
      <w:r w:rsidR="00F27D04">
        <w:t>naskah</w:t>
      </w:r>
      <w:r w:rsidRPr="00E35E53">
        <w:t>, dan</w:t>
      </w:r>
      <w:r w:rsidR="00F27D04">
        <w:t xml:space="preserve"> diurutkan dalam daftar diakhir BAB. </w:t>
      </w:r>
    </w:p>
    <w:p w14:paraId="0AF598CF" w14:textId="7BBCD552" w:rsidR="00F27D04" w:rsidRDefault="00F27D04" w:rsidP="00E54B24">
      <w:pPr>
        <w:pStyle w:val="BodyTextMSOpen"/>
      </w:pPr>
      <w:r>
        <w:t xml:space="preserve">Setidaknya daftar referensi terdapat minimal lima referensi dan disusun sesuai dengan kutipan dalam naskah, bukan urut abjad. </w:t>
      </w:r>
    </w:p>
    <w:p w14:paraId="1650A7B3" w14:textId="596DCED7" w:rsidR="00F27D04" w:rsidRDefault="00F27D04" w:rsidP="00E54B24">
      <w:pPr>
        <w:pStyle w:val="BodyTextMSOpen"/>
      </w:pPr>
      <w:r>
        <w:t>Daftar hanya satu referensi per nomor referensi.</w:t>
      </w:r>
    </w:p>
    <w:p w14:paraId="7F1E2544" w14:textId="5F70C2F4" w:rsidR="00F27D04" w:rsidRDefault="00F27D04" w:rsidP="00E54B24">
      <w:pPr>
        <w:pStyle w:val="BodyTextMSOpen"/>
      </w:pPr>
      <w:r>
        <w:lastRenderedPageBreak/>
        <w:t>Sepanjang teks, setiap nomor referensi harus dilampirkan nomor referensi dengan tanda kurung</w:t>
      </w:r>
      <w:r w:rsidR="00DA05AE">
        <w:t xml:space="preserve"> siku</w:t>
      </w:r>
      <w:r>
        <w:t xml:space="preserve"> (seperti “dalam </w:t>
      </w:r>
      <w:r w:rsidR="00C10E2A">
        <w:t>[</w:t>
      </w:r>
      <w:r>
        <w:t>1</w:t>
      </w:r>
      <w:r w:rsidR="00C10E2A">
        <w:t>]</w:t>
      </w:r>
      <w:r>
        <w:t xml:space="preserve"> …”, atau “dalam referensi </w:t>
      </w:r>
      <w:r w:rsidR="00C10E2A">
        <w:t>[</w:t>
      </w:r>
      <w:r>
        <w:t>1</w:t>
      </w:r>
      <w:r w:rsidR="00C10E2A">
        <w:t>]</w:t>
      </w:r>
      <w:r>
        <w:t xml:space="preserve"> …” atau “Lorem ipsum dolor sit amet, consectetur adipisicing elit, sed do eiusmod tempor incididunt ut labore. </w:t>
      </w:r>
      <w:r w:rsidR="00C10E2A">
        <w:t>[</w:t>
      </w:r>
      <w:r>
        <w:t>1</w:t>
      </w:r>
      <w:r w:rsidR="00C10E2A">
        <w:t>]</w:t>
      </w:r>
      <w:r>
        <w:t>”)</w:t>
      </w:r>
    </w:p>
    <w:p w14:paraId="7E670E9C" w14:textId="1AE11A24" w:rsidR="00F27D04" w:rsidRDefault="00F27D04" w:rsidP="00E54B24">
      <w:pPr>
        <w:pStyle w:val="BodyTextMSOpen"/>
      </w:pPr>
      <w:r>
        <w:t>(catatan: tidak perlu menyebutkan penulis refrensi, kecuali penyebutannya relevan dengan teks.)</w:t>
      </w:r>
    </w:p>
    <w:p w14:paraId="7C4E757C" w14:textId="746451B5" w:rsidR="00AE2CBE" w:rsidRDefault="00AE2CBE" w:rsidP="00E54B24">
      <w:pPr>
        <w:pStyle w:val="BodyTextMSOpen"/>
      </w:pPr>
      <w:r>
        <w:t xml:space="preserve">Kutipan yang banyak berada dalam satu kurung dan harus dipisahkan koma (,). Ketika terdapat kutipan tiga atau lebih harus digunakan rentang </w:t>
      </w:r>
      <w:r w:rsidR="00C10E2A">
        <w:t>[</w:t>
      </w:r>
      <w:r>
        <w:t>2, 7-9, 13</w:t>
      </w:r>
      <w:r w:rsidR="00C10E2A">
        <w:t>]</w:t>
      </w:r>
      <w:r>
        <w:t xml:space="preserve">. </w:t>
      </w:r>
    </w:p>
    <w:p w14:paraId="63E9D603" w14:textId="0F1656C8" w:rsidR="00AE2CBE" w:rsidRDefault="00AE2CBE" w:rsidP="00E54B24">
      <w:pPr>
        <w:pStyle w:val="BodyTextMSOpen"/>
      </w:pPr>
      <w:r>
        <w:t>Contoh:</w:t>
      </w:r>
    </w:p>
    <w:p w14:paraId="23853FF7" w14:textId="329FFE03" w:rsidR="00E54B24" w:rsidRDefault="00E54B24" w:rsidP="00E54B24">
      <w:pPr>
        <w:pStyle w:val="BodyTextMSOpen"/>
      </w:pPr>
      <w:r>
        <w:rPr>
          <w:rStyle w:val="Strong"/>
        </w:rPr>
        <w:t>Journal article (published):</w:t>
      </w:r>
      <w:r>
        <w:t xml:space="preserve"> </w:t>
      </w:r>
      <w:r w:rsidR="00C10E2A">
        <w:t>[</w:t>
      </w:r>
      <w:r>
        <w:t>1</w:t>
      </w:r>
      <w:r w:rsidR="00C10E2A">
        <w:t>]</w:t>
      </w:r>
      <w:r>
        <w:t xml:space="preserve"> Zanzoni A, Montecchi-Palazzi L, Quondam MX. Mint: A molecular interaction database. FEBS Letters. 2002;513:135-140. DOI: 10.1016/s0014-5793(01)03293-8</w:t>
      </w:r>
    </w:p>
    <w:p w14:paraId="49F3BE9F" w14:textId="7180966D" w:rsidR="00E54B24" w:rsidRDefault="00E54B24" w:rsidP="00E54B24">
      <w:pPr>
        <w:pStyle w:val="BodyTextMSOpen"/>
      </w:pPr>
      <w:r>
        <w:rPr>
          <w:rStyle w:val="Strong"/>
        </w:rPr>
        <w:t>Journal article (forthcoming):</w:t>
      </w:r>
      <w:r>
        <w:t xml:space="preserve"> </w:t>
      </w:r>
      <w:r w:rsidR="00C10E2A">
        <w:t>[</w:t>
      </w:r>
      <w:r>
        <w:t>2</w:t>
      </w:r>
      <w:r w:rsidR="00C10E2A">
        <w:t>]</w:t>
      </w:r>
      <w:r>
        <w:t xml:space="preserve"> Zanzoni A, Montecchi-Palazzi L, Quondam MX. Mint: A molecular interaction database. FEBS Letters. DOI: 10.1016/s0014-5793(01)03293-8</w:t>
      </w:r>
    </w:p>
    <w:p w14:paraId="26E4B613" w14:textId="2FB9E64B" w:rsidR="00E54B24" w:rsidRDefault="00E54B24" w:rsidP="00E54B24">
      <w:pPr>
        <w:pStyle w:val="BodyTextMSOpen"/>
      </w:pPr>
      <w:r>
        <w:rPr>
          <w:rStyle w:val="Strong"/>
        </w:rPr>
        <w:t>Authored book:</w:t>
      </w:r>
      <w:r>
        <w:t xml:space="preserve"> </w:t>
      </w:r>
      <w:r w:rsidR="00C10E2A">
        <w:t>[</w:t>
      </w:r>
      <w:r>
        <w:t>3</w:t>
      </w:r>
      <w:r w:rsidR="00C10E2A">
        <w:t>]</w:t>
      </w:r>
      <w:r>
        <w:t xml:space="preserve"> Luque A, Hegedus S. Handbook of Photovoltaic Science and Engineering. 2nd ed. Chichester: Wiley; 2011. 1132 p. DOI: 10.1002/9780470974704</w:t>
      </w:r>
    </w:p>
    <w:p w14:paraId="2F29C85A" w14:textId="03A511E2" w:rsidR="00E54B24" w:rsidRDefault="00E54B24" w:rsidP="00E54B24">
      <w:pPr>
        <w:pStyle w:val="BodyTextMSOpen"/>
      </w:pPr>
      <w:r>
        <w:rPr>
          <w:rStyle w:val="Strong"/>
        </w:rPr>
        <w:t>Edited book:</w:t>
      </w:r>
      <w:r>
        <w:t xml:space="preserve"> </w:t>
      </w:r>
      <w:r w:rsidR="00C10E2A">
        <w:t>[</w:t>
      </w:r>
      <w:r>
        <w:t>4</w:t>
      </w:r>
      <w:r w:rsidR="00C10E2A">
        <w:t>]</w:t>
      </w:r>
      <w:r>
        <w:t xml:space="preserve"> Luque A, Hegedus S, editors. Handbook of Photovoltaic Science and Engineering. 2nd ed. Chichester: Wiley; 2011. 1132 p. DOI: 10.1002/978047974704</w:t>
      </w:r>
    </w:p>
    <w:p w14:paraId="70F7E92D" w14:textId="0A9C69DD" w:rsidR="00E54B24" w:rsidRDefault="00E54B24" w:rsidP="00E54B24">
      <w:pPr>
        <w:pStyle w:val="BodyTextMSOpen"/>
      </w:pPr>
      <w:r>
        <w:rPr>
          <w:rStyle w:val="Strong"/>
        </w:rPr>
        <w:t>Book chapter:</w:t>
      </w:r>
      <w:r>
        <w:t xml:space="preserve"> </w:t>
      </w:r>
      <w:r w:rsidR="00C10E2A">
        <w:t>[</w:t>
      </w:r>
      <w:r>
        <w:t>5</w:t>
      </w:r>
      <w:r w:rsidR="00C10E2A">
        <w:t>]</w:t>
      </w:r>
      <w:r>
        <w:t xml:space="preserve"> Ceccaroli B, Lohne O. Solar grade silicon feedstock. In: Luque A, Hegedus S, editors. Handbook of Photovoltaic Science and Engineering. 2nd ed. Chichester: Wiley; 2011. p. 169-217. DOI: 10.1002/978047974704.ch5</w:t>
      </w:r>
    </w:p>
    <w:p w14:paraId="71B9644C" w14:textId="322D56B9" w:rsidR="00E54B24" w:rsidRDefault="00E54B24" w:rsidP="00E54B24">
      <w:pPr>
        <w:pStyle w:val="BodyTextMSOpen"/>
      </w:pPr>
      <w:r>
        <w:rPr>
          <w:rStyle w:val="Strong"/>
        </w:rPr>
        <w:t>Conference paper:</w:t>
      </w:r>
      <w:r>
        <w:t xml:space="preserve"> </w:t>
      </w:r>
      <w:r w:rsidR="00C10E2A">
        <w:t>[</w:t>
      </w:r>
      <w:r>
        <w:t>6</w:t>
      </w:r>
      <w:r w:rsidR="00C10E2A">
        <w:t>]</w:t>
      </w:r>
      <w:r>
        <w:t xml:space="preserve"> Kajihara A, Harakawa T. Model of photovoltaic cell circuits under partial shading. In: Proceedings of the IEEE International Conference on Industrial Technology (ICIT '05); 14-17 December 2005; Hong Kong. New York: IEEE; 2006. p. 866-870</w:t>
      </w:r>
    </w:p>
    <w:p w14:paraId="7049A8AC" w14:textId="28A840E9" w:rsidR="00E54B24" w:rsidRDefault="00E54B24" w:rsidP="00E54B24">
      <w:pPr>
        <w:pStyle w:val="BodyTextMSOpen"/>
      </w:pPr>
      <w:r>
        <w:rPr>
          <w:rStyle w:val="Strong"/>
        </w:rPr>
        <w:t>Webpage:</w:t>
      </w:r>
      <w:r>
        <w:t xml:space="preserve"> </w:t>
      </w:r>
      <w:r w:rsidR="00C10E2A">
        <w:t>[</w:t>
      </w:r>
      <w:r>
        <w:t>7</w:t>
      </w:r>
      <w:r w:rsidR="00C10E2A">
        <w:t>]</w:t>
      </w:r>
      <w:r>
        <w:t xml:space="preserve"> Solarex. SX-40 &amp; SX-50 Photovoltaic Modules [Internet]. 1999. Available from: </w:t>
      </w:r>
      <w:hyperlink r:id="rId9" w:history="1">
        <w:r>
          <w:rPr>
            <w:rStyle w:val="Hyperlink"/>
          </w:rPr>
          <w:t>http://www.trichord-inc.com/pricing/frames/content/solar_power.pdf</w:t>
        </w:r>
      </w:hyperlink>
      <w:r>
        <w:t xml:space="preserve"> [</w:t>
      </w:r>
      <w:r w:rsidR="00AE2CBE">
        <w:t>diakses</w:t>
      </w:r>
      <w:r>
        <w:t>: YYYY-MM-DD]</w:t>
      </w:r>
    </w:p>
    <w:p w14:paraId="5FDA1A31" w14:textId="30C76205" w:rsidR="009F293F" w:rsidRDefault="00E54B24" w:rsidP="00AE2CBE">
      <w:pPr>
        <w:pStyle w:val="BodyTextMSOpen"/>
      </w:pPr>
      <w:r>
        <w:rPr>
          <w:rStyle w:val="Strong"/>
        </w:rPr>
        <w:t>Thesis:</w:t>
      </w:r>
      <w:r>
        <w:t xml:space="preserve"> </w:t>
      </w:r>
      <w:r w:rsidR="00C10E2A">
        <w:t>[</w:t>
      </w:r>
      <w:r>
        <w:t>8</w:t>
      </w:r>
      <w:r w:rsidR="00C10E2A">
        <w:t>]</w:t>
      </w:r>
      <w:r>
        <w:t xml:space="preserve"> DenHerder T. Design and simulation of PV super system using Simulink [thesis]. San Luis Obispo: California Polytechnic State University; 2006.</w:t>
      </w:r>
    </w:p>
    <w:p w14:paraId="6C08178E" w14:textId="0D7C9634" w:rsidR="000F0044" w:rsidRDefault="000F0044" w:rsidP="00AE2CBE">
      <w:pPr>
        <w:pStyle w:val="BodyTextMSOpen"/>
      </w:pPr>
    </w:p>
    <w:p w14:paraId="7962E1B6" w14:textId="77777777" w:rsidR="000F0044" w:rsidRDefault="000F0044" w:rsidP="000F0044">
      <w:pPr>
        <w:pStyle w:val="Heading1MSOpen"/>
      </w:pPr>
      <w:r>
        <w:t>Ucapan Terima Kasih/acknowledgement</w:t>
      </w:r>
    </w:p>
    <w:p w14:paraId="617A0185" w14:textId="77777777" w:rsidR="000F0044" w:rsidRDefault="000F0044" w:rsidP="000F0044">
      <w:pPr>
        <w:pStyle w:val="BodyTextMSOpen"/>
      </w:pPr>
      <w:r>
        <w:t xml:space="preserve">Ganti keseluruhan teks ini dengan </w:t>
      </w:r>
      <w:r>
        <w:rPr>
          <w:b/>
        </w:rPr>
        <w:t>ucapan terima kasih</w:t>
      </w:r>
      <w:r>
        <w:t>. Biasanya, bagian ucapan terimakasih berisi nama orang atau institusi yang berkontribusi dalam pekerjaan Anda, namun tidak tepat untuk ditulis sebagai pengarang. Pemberi dana adalah salah satu contohnya. Kriteria penulisan kepengarangan disesuaikan dengan Pedoman Etika Ilmiah FMIPA UM Edisi revisi 2017.</w:t>
      </w:r>
    </w:p>
    <w:p w14:paraId="209935A4" w14:textId="77777777" w:rsidR="000F0044" w:rsidRDefault="000F0044" w:rsidP="000F0044">
      <w:pPr>
        <w:pStyle w:val="BodyTextMSOpen"/>
      </w:pPr>
      <w:r>
        <w:lastRenderedPageBreak/>
        <w:t>Bagian dari manuskrip ini mungkin juga menyertakan informasi pendanaan.</w:t>
      </w:r>
    </w:p>
    <w:p w14:paraId="7F9B06DA" w14:textId="77777777" w:rsidR="000F0044" w:rsidRDefault="000F0044" w:rsidP="00AE2CBE">
      <w:pPr>
        <w:pStyle w:val="BodyTextMSOpen"/>
      </w:pPr>
      <w:bookmarkStart w:id="0" w:name="_GoBack"/>
      <w:bookmarkEnd w:id="0"/>
    </w:p>
    <w:sectPr w:rsidR="000F0044">
      <w:pgSz w:w="9638" w:h="13606"/>
      <w:pgMar w:top="1417" w:right="1134" w:bottom="1701" w:left="1134" w:header="720" w:footer="720" w:gutter="0"/>
      <w:pgNumType w:start="47"/>
      <w:cols w:space="720"/>
      <w:titlePg/>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utiger Neue LT Com">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41DDE"/>
    <w:multiLevelType w:val="hybridMultilevel"/>
    <w:tmpl w:val="E9BA06D8"/>
    <w:lvl w:ilvl="0" w:tplc="3B4A1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191FB5"/>
    <w:multiLevelType w:val="hybridMultilevel"/>
    <w:tmpl w:val="4A5CFA3E"/>
    <w:lvl w:ilvl="0" w:tplc="FEAEE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E116D1"/>
    <w:multiLevelType w:val="hybridMultilevel"/>
    <w:tmpl w:val="08DC355A"/>
    <w:lvl w:ilvl="0" w:tplc="1A2C5750">
      <w:start w:val="1"/>
      <w:numFmt w:val="decimal"/>
      <w:lvlText w:val="%1."/>
      <w:lvlJc w:val="left"/>
      <w:pPr>
        <w:ind w:left="375" w:hanging="360"/>
      </w:pPr>
      <w:rPr>
        <w:rFonts w:hint="default"/>
        <w:sz w:val="18"/>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24"/>
    <w:rsid w:val="00042D69"/>
    <w:rsid w:val="000558DD"/>
    <w:rsid w:val="000D15AA"/>
    <w:rsid w:val="000D56A4"/>
    <w:rsid w:val="000F0044"/>
    <w:rsid w:val="00140B80"/>
    <w:rsid w:val="002A7936"/>
    <w:rsid w:val="002D17C3"/>
    <w:rsid w:val="002D70F7"/>
    <w:rsid w:val="002D750C"/>
    <w:rsid w:val="00353D66"/>
    <w:rsid w:val="003A7B9A"/>
    <w:rsid w:val="004550AE"/>
    <w:rsid w:val="00460A59"/>
    <w:rsid w:val="004C696B"/>
    <w:rsid w:val="004F5410"/>
    <w:rsid w:val="00532298"/>
    <w:rsid w:val="005610D5"/>
    <w:rsid w:val="005C0A34"/>
    <w:rsid w:val="006C69B4"/>
    <w:rsid w:val="007D0AE5"/>
    <w:rsid w:val="00823E5E"/>
    <w:rsid w:val="008B04A1"/>
    <w:rsid w:val="008F4B73"/>
    <w:rsid w:val="0091056D"/>
    <w:rsid w:val="009E2428"/>
    <w:rsid w:val="009F293F"/>
    <w:rsid w:val="00A017EB"/>
    <w:rsid w:val="00A03266"/>
    <w:rsid w:val="00A40F0F"/>
    <w:rsid w:val="00A5712C"/>
    <w:rsid w:val="00AA7400"/>
    <w:rsid w:val="00AC0576"/>
    <w:rsid w:val="00AE2CBE"/>
    <w:rsid w:val="00AE6BDC"/>
    <w:rsid w:val="00B351C5"/>
    <w:rsid w:val="00B52840"/>
    <w:rsid w:val="00B609AE"/>
    <w:rsid w:val="00BC2AFE"/>
    <w:rsid w:val="00BE7270"/>
    <w:rsid w:val="00C10E2A"/>
    <w:rsid w:val="00C915D0"/>
    <w:rsid w:val="00CC3045"/>
    <w:rsid w:val="00D43F28"/>
    <w:rsid w:val="00DA05AE"/>
    <w:rsid w:val="00DB0B37"/>
    <w:rsid w:val="00E22843"/>
    <w:rsid w:val="00E35E53"/>
    <w:rsid w:val="00E54B24"/>
    <w:rsid w:val="00E760FB"/>
    <w:rsid w:val="00F27D04"/>
    <w:rsid w:val="00F330EF"/>
    <w:rsid w:val="00F810E5"/>
    <w:rsid w:val="00F8180D"/>
    <w:rsid w:val="00FD784D"/>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00E4"/>
  <w15:chartTrackingRefBased/>
  <w15:docId w15:val="{C8492393-A861-42A4-970F-9E3D7C45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9B4"/>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E54B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54B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54B24"/>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4B24"/>
    <w:rPr>
      <w:color w:val="0563C1"/>
      <w:u w:val="single"/>
    </w:rPr>
  </w:style>
  <w:style w:type="character" w:styleId="Strong">
    <w:name w:val="Strong"/>
    <w:qFormat/>
    <w:rsid w:val="00E54B24"/>
    <w:rPr>
      <w:b/>
      <w:bCs/>
    </w:rPr>
  </w:style>
  <w:style w:type="paragraph" w:customStyle="1" w:styleId="OtherMSOpen">
    <w:name w:val="Other MSOpen"/>
    <w:basedOn w:val="Normal"/>
    <w:qFormat/>
    <w:rsid w:val="00E54B24"/>
    <w:pPr>
      <w:suppressAutoHyphens/>
      <w:spacing w:after="108" w:line="240" w:lineRule="auto"/>
      <w:ind w:left="15" w:right="1"/>
      <w:jc w:val="right"/>
    </w:pPr>
    <w:rPr>
      <w:rFonts w:ascii="Palatino Linotype" w:eastAsia="Palatino Linotype" w:hAnsi="Palatino Linotype" w:cs="Palatino Linotype"/>
      <w:i/>
      <w:color w:val="181717"/>
      <w:kern w:val="1"/>
      <w:sz w:val="18"/>
      <w:lang w:val="hr-HR" w:eastAsia="hr-HR"/>
    </w:rPr>
  </w:style>
  <w:style w:type="paragraph" w:customStyle="1" w:styleId="BodyTextMSOpen">
    <w:name w:val="Body Text (MSOpen)"/>
    <w:basedOn w:val="Normal"/>
    <w:qFormat/>
    <w:rsid w:val="00E54B24"/>
    <w:pPr>
      <w:suppressAutoHyphens/>
      <w:spacing w:after="108" w:line="240" w:lineRule="auto"/>
      <w:ind w:left="15" w:right="1"/>
    </w:pPr>
    <w:rPr>
      <w:rFonts w:ascii="Palatino Linotype" w:eastAsia="Palatino Linotype" w:hAnsi="Palatino Linotype" w:cs="Palatino Linotype"/>
      <w:color w:val="181717"/>
      <w:kern w:val="1"/>
      <w:sz w:val="18"/>
      <w:lang w:eastAsia="hr-HR"/>
    </w:rPr>
  </w:style>
  <w:style w:type="paragraph" w:customStyle="1" w:styleId="ChapterTitleMSOpen">
    <w:name w:val="Chapter Title MSOpen"/>
    <w:basedOn w:val="Heading1"/>
    <w:qFormat/>
    <w:rsid w:val="00E54B24"/>
    <w:pPr>
      <w:keepNext w:val="0"/>
      <w:keepLines w:val="0"/>
      <w:suppressAutoHyphens/>
      <w:spacing w:before="0" w:line="252" w:lineRule="auto"/>
      <w:ind w:left="10" w:hanging="10"/>
      <w:jc w:val="left"/>
    </w:pPr>
    <w:rPr>
      <w:rFonts w:ascii="Frutiger Neue LT Com" w:eastAsia="Frutiger Neue LT Com" w:hAnsi="Frutiger Neue LT Com" w:cs="Frutiger Neue LT Com"/>
      <w:b/>
      <w:color w:val="181717"/>
      <w:kern w:val="1"/>
      <w:sz w:val="28"/>
      <w:szCs w:val="22"/>
      <w:lang w:eastAsia="hr-HR"/>
    </w:rPr>
  </w:style>
  <w:style w:type="paragraph" w:customStyle="1" w:styleId="Heading1MSOpen">
    <w:name w:val="Heading 1 MSOpen"/>
    <w:basedOn w:val="Heading2"/>
    <w:rsid w:val="00E54B24"/>
    <w:pPr>
      <w:suppressAutoHyphens/>
      <w:spacing w:before="240" w:after="120" w:line="240" w:lineRule="auto"/>
      <w:ind w:left="11" w:hanging="11"/>
      <w:jc w:val="left"/>
    </w:pPr>
    <w:rPr>
      <w:rFonts w:ascii="Palatino Linotype" w:eastAsia="Palatino Linotype" w:hAnsi="Palatino Linotype" w:cs="Palatino Linotype"/>
      <w:b/>
      <w:color w:val="181717"/>
      <w:kern w:val="1"/>
      <w:sz w:val="24"/>
      <w:szCs w:val="22"/>
      <w:lang w:eastAsia="hr-HR"/>
    </w:rPr>
  </w:style>
  <w:style w:type="paragraph" w:customStyle="1" w:styleId="Heading2MSOpen">
    <w:name w:val="Heading 2 MSOpen"/>
    <w:basedOn w:val="Heading3"/>
    <w:qFormat/>
    <w:rsid w:val="00E54B24"/>
    <w:pPr>
      <w:suppressAutoHyphens/>
      <w:spacing w:before="120" w:after="120" w:line="240" w:lineRule="auto"/>
      <w:ind w:left="11" w:hanging="11"/>
      <w:jc w:val="left"/>
    </w:pPr>
    <w:rPr>
      <w:rFonts w:ascii="Palatino Linotype" w:eastAsia="Palatino Linotype" w:hAnsi="Palatino Linotype" w:cs="Palatino Linotype"/>
      <w:b/>
      <w:color w:val="181717"/>
      <w:kern w:val="1"/>
      <w:sz w:val="20"/>
      <w:szCs w:val="22"/>
      <w:lang w:val="hr-HR" w:eastAsia="hr-HR"/>
    </w:rPr>
  </w:style>
  <w:style w:type="character" w:customStyle="1" w:styleId="Heading1Char">
    <w:name w:val="Heading 1 Char"/>
    <w:basedOn w:val="DefaultParagraphFont"/>
    <w:link w:val="Heading1"/>
    <w:uiPriority w:val="9"/>
    <w:rsid w:val="00E54B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54B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54B24"/>
    <w:rPr>
      <w:rFonts w:asciiTheme="majorHAnsi" w:eastAsiaTheme="majorEastAsia" w:hAnsiTheme="majorHAnsi" w:cstheme="majorBidi"/>
      <w:color w:val="1F3763" w:themeColor="accent1" w:themeShade="7F"/>
      <w:sz w:val="24"/>
      <w:szCs w:val="24"/>
    </w:rPr>
  </w:style>
  <w:style w:type="paragraph" w:customStyle="1" w:styleId="Heading3MSOpen">
    <w:name w:val="Heading 3 MSOpen"/>
    <w:basedOn w:val="Heading2MSOpen"/>
    <w:qFormat/>
    <w:rsid w:val="006C69B4"/>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ichord-inc.com/pricing/frames/content/solar_pow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F855-419F-4793-8962-2142578E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Thathit Suprayogi</dc:creator>
  <cp:keywords/>
  <dc:description/>
  <cp:lastModifiedBy>Markus Diantoro</cp:lastModifiedBy>
  <cp:revision>26</cp:revision>
  <dcterms:created xsi:type="dcterms:W3CDTF">2018-03-15T12:19:00Z</dcterms:created>
  <dcterms:modified xsi:type="dcterms:W3CDTF">2018-12-19T08:57:00Z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http://www.zotero.org/styles/elsevier-vancouver</vt:lpwstr>
  </property>
  <property fmtid="{D5CDD505-2E9C-101B-9397-08002B2CF9AE}" pid="7" name="Mendeley Recent Style Name 2_1">
    <vt:lpwstr>Elsevier - Vancouver</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http://www.zotero.org/styles/materials-today-proceedings</vt:lpwstr>
  </property>
  <property fmtid="{D5CDD505-2E9C-101B-9397-08002B2CF9AE}" pid="13" name="Mendeley Recent Style Name 5_1">
    <vt:lpwstr>Materials Today: Proceedings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http://www.zotero.org/styles/elsevier-vancouver</vt:lpwstr>
  </property>
  <property fmtid="{D5CDD505-2E9C-101B-9397-08002B2CF9AE}" pid="23" name="Mendeley Document_1">
    <vt:lpwstr>True</vt:lpwstr>
  </property>
  <property fmtid="{D5CDD505-2E9C-101B-9397-08002B2CF9AE}" pid="24" name="Mendeley Unique User Id_1">
    <vt:lpwstr>f9df3497-f100-3b7f-bf59-a025f8fae8fc</vt:lpwstr>
  </property>
</Properties>
</file>