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62"/>
      </w:tblGrid>
      <w:tr w:rsidR="00C00E93" w:rsidTr="00727B5A">
        <w:trPr>
          <w:trHeight w:val="993"/>
        </w:trPr>
        <w:tc>
          <w:tcPr>
            <w:tcW w:w="9090" w:type="dxa"/>
            <w:gridSpan w:val="2"/>
            <w:shd w:val="clear" w:color="auto" w:fill="FFC000"/>
            <w:vAlign w:val="center"/>
          </w:tcPr>
          <w:p w:rsidR="00C00E93" w:rsidRPr="00F16B4E" w:rsidRDefault="00C00E93" w:rsidP="00AC3680">
            <w:pPr>
              <w:jc w:val="center"/>
              <w:rPr>
                <w:rFonts w:ascii="Times New Roman" w:hAnsi="Times New Roman" w:cs="Times New Roman"/>
                <w:b/>
                <w:sz w:val="32"/>
                <w:szCs w:val="32"/>
              </w:rPr>
            </w:pPr>
            <w:r w:rsidRPr="00F16B4E">
              <w:rPr>
                <w:rFonts w:ascii="Times New Roman" w:hAnsi="Times New Roman" w:cs="Times New Roman"/>
                <w:b/>
                <w:sz w:val="32"/>
                <w:szCs w:val="32"/>
              </w:rPr>
              <w:t xml:space="preserve">Gejala Kolonisasi </w:t>
            </w:r>
            <w:r w:rsidRPr="00F16B4E">
              <w:rPr>
                <w:rFonts w:ascii="Times New Roman" w:hAnsi="Times New Roman" w:cs="Times New Roman"/>
                <w:b/>
                <w:i/>
                <w:iCs/>
                <w:sz w:val="32"/>
                <w:szCs w:val="32"/>
              </w:rPr>
              <w:t>Lifeworld</w:t>
            </w:r>
            <w:r w:rsidRPr="00F16B4E">
              <w:rPr>
                <w:rFonts w:ascii="Times New Roman" w:hAnsi="Times New Roman" w:cs="Times New Roman"/>
                <w:b/>
                <w:sz w:val="32"/>
                <w:szCs w:val="32"/>
              </w:rPr>
              <w:t xml:space="preserve"> Perguruan Tinggi </w:t>
            </w:r>
          </w:p>
          <w:p w:rsidR="00C00E93" w:rsidRPr="00F16B4E" w:rsidRDefault="00C00E93" w:rsidP="00AC3680">
            <w:pPr>
              <w:jc w:val="center"/>
              <w:rPr>
                <w:rFonts w:ascii="Times New Roman" w:hAnsi="Times New Roman" w:cs="Times New Roman"/>
                <w:i/>
                <w:iCs/>
                <w:sz w:val="32"/>
                <w:szCs w:val="32"/>
              </w:rPr>
            </w:pPr>
            <w:r w:rsidRPr="00F16B4E">
              <w:rPr>
                <w:rFonts w:ascii="Times New Roman" w:hAnsi="Times New Roman" w:cs="Times New Roman"/>
                <w:b/>
                <w:sz w:val="32"/>
                <w:szCs w:val="32"/>
              </w:rPr>
              <w:t xml:space="preserve">Melalui Akuntansi Sebagai </w:t>
            </w:r>
            <w:r w:rsidRPr="00F16B4E">
              <w:rPr>
                <w:rFonts w:ascii="Times New Roman" w:hAnsi="Times New Roman" w:cs="Times New Roman"/>
                <w:b/>
                <w:i/>
                <w:iCs/>
                <w:sz w:val="32"/>
                <w:szCs w:val="32"/>
              </w:rPr>
              <w:t>Steering Media</w:t>
            </w:r>
          </w:p>
          <w:p w:rsidR="00C00E93" w:rsidRPr="00C903B7" w:rsidRDefault="00C00E93" w:rsidP="00AC3680">
            <w:pPr>
              <w:spacing w:before="120" w:after="120"/>
              <w:jc w:val="center"/>
              <w:rPr>
                <w:b/>
                <w:sz w:val="28"/>
                <w:szCs w:val="28"/>
              </w:rPr>
            </w:pPr>
          </w:p>
        </w:tc>
      </w:tr>
      <w:tr w:rsidR="00C00E93" w:rsidRPr="00CE676D" w:rsidTr="00727B5A">
        <w:trPr>
          <w:trHeight w:val="74"/>
        </w:trPr>
        <w:tc>
          <w:tcPr>
            <w:tcW w:w="9090" w:type="dxa"/>
            <w:gridSpan w:val="2"/>
            <w:shd w:val="clear" w:color="auto" w:fill="auto"/>
          </w:tcPr>
          <w:p w:rsidR="00C00E93" w:rsidRPr="00DF39C0" w:rsidRDefault="00C00E93" w:rsidP="00AC3680">
            <w:pPr>
              <w:jc w:val="center"/>
              <w:rPr>
                <w:b/>
                <w:sz w:val="24"/>
                <w:szCs w:val="24"/>
              </w:rPr>
            </w:pPr>
          </w:p>
        </w:tc>
      </w:tr>
      <w:tr w:rsidR="00C00E93" w:rsidRPr="00CE676D" w:rsidTr="00727B5A">
        <w:trPr>
          <w:trHeight w:val="74"/>
        </w:trPr>
        <w:tc>
          <w:tcPr>
            <w:tcW w:w="3828" w:type="dxa"/>
            <w:shd w:val="clear" w:color="auto" w:fill="auto"/>
          </w:tcPr>
          <w:p w:rsidR="00C00E93" w:rsidRPr="00DF39C0" w:rsidRDefault="00C00E93" w:rsidP="00AC3680">
            <w:pPr>
              <w:rPr>
                <w:b/>
                <w:sz w:val="24"/>
                <w:szCs w:val="24"/>
              </w:rPr>
            </w:pPr>
            <w:r w:rsidRPr="00310B89">
              <w:rPr>
                <w:b/>
                <w:noProof/>
                <w:color w:val="2BA3FF"/>
                <w:sz w:val="32"/>
              </w:rPr>
              <w:drawing>
                <wp:inline distT="0" distB="0" distL="0" distR="0" wp14:anchorId="0FC7A7B1" wp14:editId="7978F183">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7"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Pr>
                <w:rFonts w:cstheme="minorHAnsi"/>
                <w:noProof/>
                <w:color w:val="000000" w:themeColor="text1"/>
                <w:sz w:val="32"/>
                <w:szCs w:val="32"/>
              </w:rPr>
              <mc:AlternateContent>
                <mc:Choice Requires="wps">
                  <w:drawing>
                    <wp:inline distT="0" distB="0" distL="0" distR="0" wp14:anchorId="2FD621FB" wp14:editId="44E26988">
                      <wp:extent cx="1457325" cy="428625"/>
                      <wp:effectExtent l="0" t="0" r="9525" b="9525"/>
                      <wp:docPr id="22" name="Flowchart: Document 22"/>
                      <wp:cNvGraphicFramePr/>
                      <a:graphic xmlns:a="http://schemas.openxmlformats.org/drawingml/2006/main">
                        <a:graphicData uri="http://schemas.microsoft.com/office/word/2010/wordprocessingShape">
                          <wps:wsp>
                            <wps:cNvSpPr/>
                            <wps:spPr>
                              <a:xfrm>
                                <a:off x="0" y="0"/>
                                <a:ext cx="1457325" cy="42862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00E93" w:rsidRPr="00685FC9" w:rsidRDefault="00C00E93" w:rsidP="00C00E93">
                                  <w:pPr>
                                    <w:spacing w:after="0" w:line="240" w:lineRule="auto"/>
                                    <w:rPr>
                                      <w:b/>
                                      <w:sz w:val="24"/>
                                      <w:szCs w:val="24"/>
                                    </w:rPr>
                                  </w:pPr>
                                  <w:r w:rsidRPr="00685FC9">
                                    <w:rPr>
                                      <w:rFonts w:cstheme="minorHAnsi"/>
                                      <w:b/>
                                      <w:color w:val="0D0D0D" w:themeColor="text1" w:themeTint="F2"/>
                                      <w:sz w:val="24"/>
                                      <w:szCs w:val="24"/>
                                    </w:rPr>
                                    <w:t>Peneliti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2FD621F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26" type="#_x0000_t114" style="width:114.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inset=",0,,0">
                        <w:txbxContent>
                          <w:p w:rsidR="00C00E93" w:rsidRPr="00685FC9" w:rsidRDefault="00C00E93" w:rsidP="00C00E93">
                            <w:pPr>
                              <w:spacing w:after="0" w:line="240" w:lineRule="auto"/>
                              <w:rPr>
                                <w:b/>
                                <w:sz w:val="24"/>
                                <w:szCs w:val="24"/>
                              </w:rPr>
                            </w:pPr>
                            <w:r w:rsidRPr="00685FC9">
                              <w:rPr>
                                <w:rFonts w:cstheme="minorHAnsi"/>
                                <w:b/>
                                <w:color w:val="0D0D0D" w:themeColor="text1" w:themeTint="F2"/>
                                <w:sz w:val="24"/>
                                <w:szCs w:val="24"/>
                              </w:rPr>
                              <w:t>Peneliti</w:t>
                            </w:r>
                          </w:p>
                        </w:txbxContent>
                      </v:textbox>
                      <w10:anchorlock/>
                    </v:shape>
                  </w:pict>
                </mc:Fallback>
              </mc:AlternateContent>
            </w:r>
          </w:p>
        </w:tc>
        <w:tc>
          <w:tcPr>
            <w:tcW w:w="5262" w:type="dxa"/>
            <w:shd w:val="clear" w:color="auto" w:fill="auto"/>
          </w:tcPr>
          <w:p w:rsidR="00C00E93" w:rsidRPr="00DF39C0" w:rsidRDefault="00C00E93" w:rsidP="00AC3680">
            <w:pPr>
              <w:rPr>
                <w:b/>
                <w:sz w:val="24"/>
                <w:szCs w:val="24"/>
              </w:rPr>
            </w:pPr>
            <w:r w:rsidRPr="00310B89">
              <w:rPr>
                <w:noProof/>
              </w:rPr>
              <w:drawing>
                <wp:inline distT="0" distB="0" distL="0" distR="0" wp14:anchorId="3CF76DF5" wp14:editId="7B422AE3">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8391" cy="415164"/>
                          </a:xfrm>
                          <a:prstGeom prst="rect">
                            <a:avLst/>
                          </a:prstGeom>
                          <a:noFill/>
                          <a:ln>
                            <a:noFill/>
                          </a:ln>
                          <a:effectLst/>
                        </pic:spPr>
                      </pic:pic>
                    </a:graphicData>
                  </a:graphic>
                </wp:inline>
              </w:drawing>
            </w:r>
            <w:r>
              <w:rPr>
                <w:b/>
                <w:sz w:val="24"/>
                <w:szCs w:val="24"/>
              </w:rPr>
              <w:t xml:space="preserve"> </w:t>
            </w:r>
            <w:r>
              <w:rPr>
                <w:rFonts w:cstheme="minorHAnsi"/>
                <w:noProof/>
                <w:color w:val="000000" w:themeColor="text1"/>
                <w:sz w:val="32"/>
                <w:szCs w:val="32"/>
              </w:rPr>
              <mc:AlternateContent>
                <mc:Choice Requires="wps">
                  <w:drawing>
                    <wp:inline distT="0" distB="0" distL="0" distR="0" wp14:anchorId="34745355" wp14:editId="6DADA9EF">
                      <wp:extent cx="2028825" cy="419100"/>
                      <wp:effectExtent l="0" t="0" r="9525" b="0"/>
                      <wp:docPr id="19" name="Flowchart: Document 19"/>
                      <wp:cNvGraphicFramePr/>
                      <a:graphic xmlns:a="http://schemas.openxmlformats.org/drawingml/2006/main">
                        <a:graphicData uri="http://schemas.microsoft.com/office/word/2010/wordprocessingShape">
                          <wps:wsp>
                            <wps:cNvSpPr/>
                            <wps:spPr>
                              <a:xfrm>
                                <a:off x="0" y="0"/>
                                <a:ext cx="2028825" cy="41910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00E93" w:rsidRPr="00685FC9" w:rsidRDefault="00C00E93" w:rsidP="00C00E93">
                                  <w:pPr>
                                    <w:spacing w:after="0" w:line="240" w:lineRule="auto"/>
                                    <w:rPr>
                                      <w:b/>
                                      <w:sz w:val="24"/>
                                      <w:szCs w:val="24"/>
                                    </w:rPr>
                                  </w:pPr>
                                  <w:r w:rsidRPr="00685FC9">
                                    <w:rPr>
                                      <w:rFonts w:cstheme="minorHAnsi"/>
                                      <w:b/>
                                      <w:color w:val="0D0D0D" w:themeColor="text1" w:themeTint="F2"/>
                                      <w:sz w:val="24"/>
                                      <w:szCs w:val="24"/>
                                    </w:rPr>
                                    <w:t>Ringkasan Eksekutif</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34745355" id="Flowchart: Document 19" o:spid="_x0000_s1027" type="#_x0000_t114" style="width:159.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inset=",0,,0">
                        <w:txbxContent>
                          <w:p w:rsidR="00C00E93" w:rsidRPr="00685FC9" w:rsidRDefault="00C00E93" w:rsidP="00C00E93">
                            <w:pPr>
                              <w:spacing w:after="0" w:line="240" w:lineRule="auto"/>
                              <w:rPr>
                                <w:b/>
                                <w:sz w:val="24"/>
                                <w:szCs w:val="24"/>
                              </w:rPr>
                            </w:pPr>
                            <w:r w:rsidRPr="00685FC9">
                              <w:rPr>
                                <w:rFonts w:cstheme="minorHAnsi"/>
                                <w:b/>
                                <w:color w:val="0D0D0D" w:themeColor="text1" w:themeTint="F2"/>
                                <w:sz w:val="24"/>
                                <w:szCs w:val="24"/>
                              </w:rPr>
                              <w:t>Ringkasan Eksekutif</w:t>
                            </w:r>
                          </w:p>
                        </w:txbxContent>
                      </v:textbox>
                      <w10:anchorlock/>
                    </v:shape>
                  </w:pict>
                </mc:Fallback>
              </mc:AlternateContent>
            </w:r>
          </w:p>
        </w:tc>
      </w:tr>
      <w:tr w:rsidR="00C00E93" w:rsidTr="00727B5A">
        <w:trPr>
          <w:trHeight w:val="155"/>
        </w:trPr>
        <w:tc>
          <w:tcPr>
            <w:tcW w:w="3828" w:type="dxa"/>
          </w:tcPr>
          <w:p w:rsidR="00C00E93" w:rsidRPr="00685FC9" w:rsidRDefault="00C00E93" w:rsidP="00AC3680">
            <w:pPr>
              <w:spacing w:before="120" w:after="120"/>
              <w:rPr>
                <w:sz w:val="20"/>
                <w:szCs w:val="20"/>
              </w:rPr>
            </w:pPr>
          </w:p>
          <w:p w:rsidR="00C00E93" w:rsidRPr="00DD77A2" w:rsidRDefault="00C00E93" w:rsidP="00AC3680">
            <w:pPr>
              <w:spacing w:before="120" w:after="120"/>
              <w:rPr>
                <w:b/>
                <w:sz w:val="24"/>
                <w:szCs w:val="24"/>
              </w:rPr>
            </w:pPr>
            <w:r w:rsidRPr="00DD77A2">
              <w:rPr>
                <w:b/>
                <w:sz w:val="24"/>
                <w:szCs w:val="24"/>
              </w:rPr>
              <w:t>SRI PUJININGSIH</w:t>
            </w:r>
          </w:p>
          <w:p w:rsidR="00C00E93" w:rsidRPr="00DD77A2" w:rsidRDefault="00C00E93" w:rsidP="00AC3680">
            <w:pPr>
              <w:rPr>
                <w:sz w:val="24"/>
                <w:szCs w:val="24"/>
              </w:rPr>
            </w:pPr>
          </w:p>
          <w:p w:rsidR="00C00E93" w:rsidRPr="00DD77A2" w:rsidRDefault="00C00E93" w:rsidP="00AC3680">
            <w:pPr>
              <w:rPr>
                <w:sz w:val="24"/>
                <w:szCs w:val="24"/>
              </w:rPr>
            </w:pPr>
            <w:r w:rsidRPr="00DD77A2">
              <w:rPr>
                <w:sz w:val="24"/>
                <w:szCs w:val="24"/>
              </w:rPr>
              <w:t xml:space="preserve">Akuntansi / FE </w:t>
            </w:r>
          </w:p>
          <w:p w:rsidR="00C00E93" w:rsidRPr="00DD77A2" w:rsidRDefault="00C00E93" w:rsidP="00AC3680">
            <w:pPr>
              <w:rPr>
                <w:sz w:val="24"/>
                <w:szCs w:val="24"/>
              </w:rPr>
            </w:pPr>
            <w:r w:rsidRPr="00DD77A2">
              <w:rPr>
                <w:sz w:val="24"/>
                <w:szCs w:val="24"/>
              </w:rPr>
              <w:t>Universitas Negeri Malang</w:t>
            </w:r>
          </w:p>
          <w:p w:rsidR="00C00E93" w:rsidRPr="00DD77A2" w:rsidRDefault="00C00E93" w:rsidP="00AC3680">
            <w:pPr>
              <w:rPr>
                <w:sz w:val="24"/>
                <w:szCs w:val="24"/>
              </w:rPr>
            </w:pPr>
            <w:r w:rsidRPr="00DD77A2">
              <w:rPr>
                <w:sz w:val="24"/>
                <w:szCs w:val="24"/>
              </w:rPr>
              <w:t>sri.pujiningsih.fe@uau.ac.id</w:t>
            </w:r>
          </w:p>
          <w:p w:rsidR="00C00E93" w:rsidRPr="00DD77A2" w:rsidRDefault="00C00E93" w:rsidP="00AC3680">
            <w:pPr>
              <w:rPr>
                <w:sz w:val="24"/>
                <w:szCs w:val="24"/>
              </w:rPr>
            </w:pPr>
          </w:p>
          <w:p w:rsidR="00C00E93" w:rsidRPr="00DD77A2" w:rsidRDefault="00C00E93" w:rsidP="00AC3680">
            <w:pPr>
              <w:rPr>
                <w:b/>
                <w:sz w:val="24"/>
                <w:szCs w:val="24"/>
              </w:rPr>
            </w:pPr>
            <w:r w:rsidRPr="00DD77A2">
              <w:rPr>
                <w:b/>
                <w:sz w:val="24"/>
                <w:szCs w:val="24"/>
              </w:rPr>
              <w:t>SAWITRI DWI PRASTITI</w:t>
            </w:r>
          </w:p>
          <w:p w:rsidR="00C00E93" w:rsidRPr="00DD77A2" w:rsidRDefault="00C00E93" w:rsidP="00AC3680">
            <w:pPr>
              <w:rPr>
                <w:sz w:val="24"/>
                <w:szCs w:val="24"/>
              </w:rPr>
            </w:pPr>
          </w:p>
          <w:p w:rsidR="00C00E93" w:rsidRPr="00DD77A2" w:rsidRDefault="00C00E93" w:rsidP="00AC3680">
            <w:pPr>
              <w:rPr>
                <w:sz w:val="24"/>
                <w:szCs w:val="24"/>
              </w:rPr>
            </w:pPr>
            <w:r w:rsidRPr="00DD77A2">
              <w:rPr>
                <w:sz w:val="24"/>
                <w:szCs w:val="24"/>
              </w:rPr>
              <w:t>Akuntansi/ FE</w:t>
            </w:r>
          </w:p>
          <w:p w:rsidR="00C00E93" w:rsidRPr="00DD77A2" w:rsidRDefault="00C00E93" w:rsidP="00AC3680">
            <w:pPr>
              <w:rPr>
                <w:sz w:val="24"/>
                <w:szCs w:val="24"/>
              </w:rPr>
            </w:pPr>
            <w:r w:rsidRPr="00DD77A2">
              <w:rPr>
                <w:sz w:val="24"/>
                <w:szCs w:val="24"/>
              </w:rPr>
              <w:t xml:space="preserve">Universitas Negeri Malang </w:t>
            </w:r>
          </w:p>
          <w:p w:rsidR="00C00E93" w:rsidRPr="00DD77A2" w:rsidRDefault="00C00E93" w:rsidP="00AC3680">
            <w:pPr>
              <w:rPr>
                <w:sz w:val="24"/>
                <w:szCs w:val="24"/>
              </w:rPr>
            </w:pPr>
            <w:r w:rsidRPr="00DD77A2">
              <w:rPr>
                <w:sz w:val="24"/>
                <w:szCs w:val="24"/>
              </w:rPr>
              <w:t>Sawitri.dwi.prastiti@um.ac.id</w:t>
            </w:r>
          </w:p>
          <w:p w:rsidR="00C00E93" w:rsidRPr="00685FC9" w:rsidRDefault="00C00E93" w:rsidP="00AC3680">
            <w:pPr>
              <w:rPr>
                <w:sz w:val="20"/>
                <w:szCs w:val="20"/>
              </w:rPr>
            </w:pPr>
          </w:p>
          <w:p w:rsidR="00C00E93" w:rsidRPr="00685FC9" w:rsidRDefault="00C00E93" w:rsidP="00AC3680">
            <w:pPr>
              <w:rPr>
                <w:sz w:val="20"/>
                <w:szCs w:val="20"/>
              </w:rPr>
            </w:pPr>
          </w:p>
        </w:tc>
        <w:tc>
          <w:tcPr>
            <w:tcW w:w="5262" w:type="dxa"/>
            <w:shd w:val="clear" w:color="auto" w:fill="auto"/>
            <w:vAlign w:val="center"/>
          </w:tcPr>
          <w:p w:rsidR="00727B5A" w:rsidRDefault="002A4474" w:rsidP="00AC3680">
            <w:pPr>
              <w:spacing w:before="120" w:after="120"/>
              <w:jc w:val="both"/>
              <w:rPr>
                <w:rFonts w:cstheme="minorHAnsi"/>
                <w:b/>
                <w:color w:val="0D0D0D" w:themeColor="text1" w:themeTint="F2"/>
              </w:rPr>
            </w:pPr>
            <w:r>
              <w:rPr>
                <w:rFonts w:cstheme="minorHAnsi"/>
                <w:b/>
                <w:color w:val="0D0D0D" w:themeColor="text1" w:themeTint="F2"/>
              </w:rPr>
              <w:t xml:space="preserve">Penelitian ini telah menemukan </w:t>
            </w:r>
            <w:r w:rsidR="00727B5A">
              <w:rPr>
                <w:rFonts w:cstheme="minorHAnsi"/>
                <w:b/>
                <w:color w:val="0D0D0D" w:themeColor="text1" w:themeTint="F2"/>
              </w:rPr>
              <w:t xml:space="preserve">model filosofis akuntansi emansipatoris untuk perguruan tinggi.  Pengembangan model ini mendasarkan  pada teori ekuitas  </w:t>
            </w:r>
            <w:r w:rsidR="00727B5A" w:rsidRPr="00F16B4E">
              <w:rPr>
                <w:rFonts w:cstheme="minorHAnsi"/>
                <w:b/>
                <w:i/>
                <w:color w:val="0D0D0D" w:themeColor="text1" w:themeTint="F2"/>
              </w:rPr>
              <w:t>Enterprise</w:t>
            </w:r>
            <w:r w:rsidR="00727B5A">
              <w:rPr>
                <w:rFonts w:cstheme="minorHAnsi"/>
                <w:b/>
                <w:color w:val="0D0D0D" w:themeColor="text1" w:themeTint="F2"/>
              </w:rPr>
              <w:t xml:space="preserve"> dan teori Akuntansi Dana, sebagai kritik atas penggunaan teori Kesatuan Entitas dalam akuntansi PTN BLU.  Secara ontologi</w:t>
            </w:r>
            <w:r w:rsidR="00F16B4E">
              <w:rPr>
                <w:rFonts w:cstheme="minorHAnsi"/>
                <w:b/>
                <w:color w:val="0D0D0D" w:themeColor="text1" w:themeTint="F2"/>
              </w:rPr>
              <w:t>,</w:t>
            </w:r>
            <w:r w:rsidR="00727B5A">
              <w:rPr>
                <w:rFonts w:cstheme="minorHAnsi"/>
                <w:b/>
                <w:color w:val="0D0D0D" w:themeColor="text1" w:themeTint="F2"/>
              </w:rPr>
              <w:t xml:space="preserve"> model akuntansi emansipatoris mendasarkan pada aliran idealisme, sebagai kritik atas akuntansi BLU yang mendasarkan ontologis realisme.</w:t>
            </w:r>
            <w:r w:rsidR="00340C46">
              <w:rPr>
                <w:rFonts w:cstheme="minorHAnsi"/>
                <w:b/>
                <w:color w:val="0D0D0D" w:themeColor="text1" w:themeTint="F2"/>
              </w:rPr>
              <w:t xml:space="preserve"> Secara epistemologis akuntansi emansipatoris menggunakan pendekatan </w:t>
            </w:r>
            <w:r w:rsidR="00340C46" w:rsidRPr="00340C46">
              <w:rPr>
                <w:rFonts w:cstheme="minorHAnsi"/>
                <w:b/>
                <w:i/>
                <w:color w:val="0D0D0D" w:themeColor="text1" w:themeTint="F2"/>
              </w:rPr>
              <w:t>middle range theory</w:t>
            </w:r>
            <w:r w:rsidR="00F16B4E">
              <w:rPr>
                <w:rFonts w:cstheme="minorHAnsi"/>
                <w:b/>
                <w:i/>
                <w:color w:val="0D0D0D" w:themeColor="text1" w:themeTint="F2"/>
              </w:rPr>
              <w:t xml:space="preserve">, </w:t>
            </w:r>
            <w:r w:rsidR="00F16B4E" w:rsidRPr="00F16B4E">
              <w:rPr>
                <w:rFonts w:cstheme="minorHAnsi"/>
                <w:b/>
                <w:color w:val="0D0D0D" w:themeColor="text1" w:themeTint="F2"/>
              </w:rPr>
              <w:t>sebagai kritik atas akuntansi BLU yang positivistik</w:t>
            </w:r>
            <w:r w:rsidR="00340C46">
              <w:rPr>
                <w:rFonts w:cstheme="minorHAnsi"/>
                <w:b/>
                <w:color w:val="0D0D0D" w:themeColor="text1" w:themeTint="F2"/>
              </w:rPr>
              <w:t xml:space="preserve">.  Secara  aksiologis, akuntansi emansipatoris mendasarkan nilai ke-Tuhanan sesuai tujuan PT, ini sebagai kritik akuntansi BLU yang </w:t>
            </w:r>
            <w:r w:rsidR="00340C46" w:rsidRPr="00340C46">
              <w:rPr>
                <w:rFonts w:cstheme="minorHAnsi"/>
                <w:b/>
                <w:i/>
                <w:color w:val="0D0D0D" w:themeColor="text1" w:themeTint="F2"/>
              </w:rPr>
              <w:t>value free</w:t>
            </w:r>
            <w:r w:rsidR="00340C46">
              <w:rPr>
                <w:rFonts w:cstheme="minorHAnsi"/>
                <w:b/>
                <w:color w:val="0D0D0D" w:themeColor="text1" w:themeTint="F2"/>
              </w:rPr>
              <w:t>.  Hakekat manusia dalam akuntansi emansipatoris adalah manusia yang memiliki rasionalitas ke</w:t>
            </w:r>
            <w:r w:rsidR="00347D10">
              <w:rPr>
                <w:rFonts w:cstheme="minorHAnsi"/>
                <w:b/>
                <w:color w:val="0D0D0D" w:themeColor="text1" w:themeTint="F2"/>
              </w:rPr>
              <w:t xml:space="preserve">adilan </w:t>
            </w:r>
            <w:r w:rsidR="00340C46">
              <w:rPr>
                <w:rFonts w:cstheme="minorHAnsi"/>
                <w:b/>
                <w:color w:val="0D0D0D" w:themeColor="text1" w:themeTint="F2"/>
              </w:rPr>
              <w:t xml:space="preserve">dan rasionalitas ekonomi, hal ini sebagai kritik atas akuntansi BLU yang mengasumsikan bahwa manusia adalah </w:t>
            </w:r>
            <w:r w:rsidR="00340C46" w:rsidRPr="00347D10">
              <w:rPr>
                <w:rFonts w:cstheme="minorHAnsi"/>
                <w:b/>
                <w:i/>
                <w:color w:val="0D0D0D" w:themeColor="text1" w:themeTint="F2"/>
              </w:rPr>
              <w:t>homoeconomicus</w:t>
            </w:r>
            <w:r w:rsidR="00340C46">
              <w:rPr>
                <w:rFonts w:cstheme="minorHAnsi"/>
                <w:b/>
                <w:color w:val="0D0D0D" w:themeColor="text1" w:themeTint="F2"/>
              </w:rPr>
              <w:t>.</w:t>
            </w:r>
            <w:r w:rsidR="00347D10">
              <w:rPr>
                <w:rFonts w:cstheme="minorHAnsi"/>
                <w:b/>
                <w:color w:val="0D0D0D" w:themeColor="text1" w:themeTint="F2"/>
              </w:rPr>
              <w:t xml:space="preserve"> Akuntansi emansipatoris PT menghasilkan laporan keuangan antara lain berupa neraca, laporan aktivitas, laporan arus kas dan laporan nilai tambah. Laporan keuangan tersebut mendasarkan pada aktivitas Tri Dharma PT bukan mendasarkan pada logika pengelolaan ala korporasi sebagaimana dalam akuntansi BLU. </w:t>
            </w:r>
          </w:p>
          <w:p w:rsidR="00DD77A2" w:rsidRPr="00685FC9" w:rsidRDefault="00DD77A2" w:rsidP="00AC3680">
            <w:pPr>
              <w:spacing w:before="120" w:after="120"/>
              <w:jc w:val="both"/>
              <w:rPr>
                <w:rFonts w:cstheme="minorHAnsi"/>
                <w:b/>
                <w:color w:val="0D0D0D" w:themeColor="text1" w:themeTint="F2"/>
              </w:rPr>
            </w:pPr>
            <w:r w:rsidRPr="002E01BD">
              <w:rPr>
                <w:rFonts w:cstheme="minorHAnsi"/>
                <w:b/>
                <w:color w:val="0D0D0D" w:themeColor="text1" w:themeTint="F2"/>
              </w:rPr>
              <w:t>Kata kunci:</w:t>
            </w:r>
            <w:r>
              <w:rPr>
                <w:rFonts w:cstheme="minorHAnsi"/>
                <w:b/>
                <w:color w:val="0D0D0D" w:themeColor="text1" w:themeTint="F2"/>
              </w:rPr>
              <w:t xml:space="preserve"> akuntansi, perguruan tinggi, emansipatoris</w:t>
            </w:r>
          </w:p>
          <w:p w:rsidR="00C00E93" w:rsidRDefault="00C00E93" w:rsidP="00AC3680">
            <w:pPr>
              <w:spacing w:before="120" w:after="120"/>
              <w:rPr>
                <w:rFonts w:cstheme="minorHAnsi"/>
                <w:color w:val="0D0D0D" w:themeColor="text1" w:themeTint="F2"/>
                <w:sz w:val="32"/>
                <w:szCs w:val="32"/>
              </w:rPr>
            </w:pPr>
            <w:r w:rsidRPr="00310B89">
              <w:rPr>
                <w:b/>
                <w:noProof/>
                <w:color w:val="2BA3FF"/>
                <w:sz w:val="32"/>
              </w:rPr>
              <w:drawing>
                <wp:inline distT="0" distB="0" distL="0" distR="0" wp14:anchorId="3A5D2FA9" wp14:editId="23FA275C">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cstheme="minorHAnsi"/>
                <w:noProof/>
                <w:color w:val="000000" w:themeColor="text1"/>
                <w:sz w:val="32"/>
                <w:szCs w:val="32"/>
              </w:rPr>
              <mc:AlternateContent>
                <mc:Choice Requires="wps">
                  <w:drawing>
                    <wp:inline distT="0" distB="0" distL="0" distR="0" wp14:anchorId="4EC4BA68" wp14:editId="6C2FF448">
                      <wp:extent cx="1714500" cy="333375"/>
                      <wp:effectExtent l="0" t="0" r="0" b="9525"/>
                      <wp:docPr id="4" name="Flowchart: Document 4"/>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00E93" w:rsidRPr="00685FC9" w:rsidRDefault="00C00E93" w:rsidP="00C00E93">
                                  <w:pPr>
                                    <w:spacing w:after="0" w:line="240" w:lineRule="auto"/>
                                    <w:rPr>
                                      <w:b/>
                                      <w:sz w:val="24"/>
                                      <w:szCs w:val="24"/>
                                    </w:rPr>
                                  </w:pPr>
                                  <w:r>
                                    <w:rPr>
                                      <w:rFonts w:cstheme="minorHAnsi"/>
                                      <w:b/>
                                      <w:color w:val="0D0D0D" w:themeColor="text1" w:themeTint="F2"/>
                                      <w:sz w:val="24"/>
                                      <w:szCs w:val="24"/>
                                    </w:rPr>
                                    <w:t>HKI dan Publikasi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4EC4BA68" id="Flowchart: Document 4" o:spid="_x0000_s1028"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Dr6iiougIAAO4F&#10;AAAOAAAAAAAAAAAAAAAAAC4CAABkcnMvZTJvRG9jLnhtbFBLAQItABQABgAIAAAAIQDZsVtA2QAA&#10;AAQBAAAPAAAAAAAAAAAAAAAAABQFAABkcnMvZG93bnJldi54bWxQSwUGAAAAAAQABADzAAAAGgYA&#10;AAAA&#10;" fillcolor="#8496b0 [1951]" stroked="f" strokeweight="1pt">
                      <v:textbox inset=",0,,0">
                        <w:txbxContent>
                          <w:p w:rsidR="00C00E93" w:rsidRPr="00685FC9" w:rsidRDefault="00C00E93" w:rsidP="00C00E93">
                            <w:pPr>
                              <w:spacing w:after="0" w:line="240" w:lineRule="auto"/>
                              <w:rPr>
                                <w:b/>
                                <w:sz w:val="24"/>
                                <w:szCs w:val="24"/>
                              </w:rPr>
                            </w:pPr>
                            <w:r>
                              <w:rPr>
                                <w:rFonts w:cstheme="minorHAnsi"/>
                                <w:b/>
                                <w:color w:val="0D0D0D" w:themeColor="text1" w:themeTint="F2"/>
                                <w:sz w:val="24"/>
                                <w:szCs w:val="24"/>
                              </w:rPr>
                              <w:t>HKI dan Publikasi</w:t>
                            </w:r>
                          </w:p>
                        </w:txbxContent>
                      </v:textbox>
                      <w10:anchorlock/>
                    </v:shape>
                  </w:pict>
                </mc:Fallback>
              </mc:AlternateContent>
            </w:r>
          </w:p>
          <w:p w:rsidR="00C00E93" w:rsidRDefault="002E4F53" w:rsidP="00C00E93">
            <w:pPr>
              <w:pStyle w:val="ListParagraph"/>
              <w:numPr>
                <w:ilvl w:val="0"/>
                <w:numId w:val="1"/>
              </w:numPr>
              <w:spacing w:before="120" w:after="120"/>
              <w:ind w:left="384"/>
              <w:jc w:val="both"/>
            </w:pPr>
            <w:r>
              <w:t>Pujining</w:t>
            </w:r>
            <w:r w:rsidR="00C00E93">
              <w:t>sih, Sri,</w:t>
            </w:r>
            <w:r w:rsidR="00C00E93" w:rsidRPr="00B14808">
              <w:t xml:space="preserve"> </w:t>
            </w:r>
            <w:r w:rsidR="00C00E93">
              <w:t>2015</w:t>
            </w:r>
            <w:r w:rsidR="00C00E93" w:rsidRPr="00B14808">
              <w:t>. “</w:t>
            </w:r>
            <w:r w:rsidR="00C00E93">
              <w:t>Public Service Agency (Badan Layanan Umum) of State University as a Model NPM in Indonesia: Habermasian Perspective” Research Journal of Fiance and Accounting, 6 (16): 111</w:t>
            </w:r>
            <w:r w:rsidR="00C00E93" w:rsidRPr="00B14808">
              <w:t>–11</w:t>
            </w:r>
            <w:r w:rsidR="00C00E93">
              <w:t>7</w:t>
            </w:r>
            <w:r w:rsidR="00C00E93" w:rsidRPr="00B14808">
              <w:t>.</w:t>
            </w:r>
          </w:p>
          <w:p w:rsidR="00C00E93" w:rsidRPr="00B14808" w:rsidRDefault="00C00E93" w:rsidP="00AC3680">
            <w:pPr>
              <w:spacing w:before="120" w:after="120"/>
              <w:jc w:val="both"/>
            </w:pPr>
            <w:r>
              <w:t xml:space="preserve"> </w:t>
            </w:r>
          </w:p>
          <w:p w:rsidR="00C00E93" w:rsidRPr="00127D4A" w:rsidRDefault="00C00E93" w:rsidP="00AC3680">
            <w:pPr>
              <w:spacing w:before="120" w:after="120"/>
              <w:rPr>
                <w:rFonts w:cstheme="minorHAnsi"/>
                <w:color w:val="0D0D0D" w:themeColor="text1" w:themeTint="F2"/>
                <w:sz w:val="32"/>
                <w:szCs w:val="32"/>
              </w:rPr>
            </w:pPr>
          </w:p>
        </w:tc>
      </w:tr>
    </w:tbl>
    <w:p w:rsidR="00C00E93" w:rsidRDefault="00C00E93" w:rsidP="00C00E93"/>
    <w:p w:rsidR="00087542" w:rsidRDefault="00087542" w:rsidP="00C00E93"/>
    <w:p w:rsidR="00087542" w:rsidRDefault="00087542" w:rsidP="00C00E93"/>
    <w:tbl>
      <w:tblPr>
        <w:tblStyle w:val="TableGrid"/>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821"/>
      </w:tblGrid>
      <w:tr w:rsidR="00C00E93" w:rsidRPr="00DF39C0" w:rsidTr="00F16B4E">
        <w:trPr>
          <w:trHeight w:val="75"/>
        </w:trPr>
        <w:tc>
          <w:tcPr>
            <w:tcW w:w="4655" w:type="dxa"/>
            <w:shd w:val="clear" w:color="auto" w:fill="auto"/>
          </w:tcPr>
          <w:p w:rsidR="00C00E93" w:rsidRPr="00DF39C0" w:rsidRDefault="00C00E93" w:rsidP="00AC3680">
            <w:pPr>
              <w:rPr>
                <w:b/>
                <w:sz w:val="24"/>
                <w:szCs w:val="24"/>
              </w:rPr>
            </w:pPr>
            <w:r>
              <w:br w:type="page"/>
            </w:r>
            <w:r w:rsidRPr="00310B89">
              <w:rPr>
                <w:b/>
                <w:noProof/>
                <w:color w:val="2BA3FF"/>
                <w:sz w:val="32"/>
              </w:rPr>
              <w:drawing>
                <wp:inline distT="0" distB="0" distL="0" distR="0" wp14:anchorId="06BB5975" wp14:editId="5C63952D">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cstheme="minorHAnsi"/>
                <w:noProof/>
                <w:color w:val="000000" w:themeColor="text1"/>
                <w:sz w:val="32"/>
                <w:szCs w:val="32"/>
              </w:rPr>
              <mc:AlternateContent>
                <mc:Choice Requires="wps">
                  <w:drawing>
                    <wp:inline distT="0" distB="0" distL="0" distR="0" wp14:anchorId="735EB79C" wp14:editId="13B6DAD4">
                      <wp:extent cx="1714500" cy="333375"/>
                      <wp:effectExtent l="0" t="0" r="0" b="9525"/>
                      <wp:docPr id="28" name="Flowchart: Document 28"/>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00E93" w:rsidRPr="00685FC9" w:rsidRDefault="00C00E93" w:rsidP="00C00E93">
                                  <w:pPr>
                                    <w:spacing w:after="0" w:line="240" w:lineRule="auto"/>
                                    <w:rPr>
                                      <w:b/>
                                      <w:sz w:val="24"/>
                                      <w:szCs w:val="24"/>
                                    </w:rPr>
                                  </w:pPr>
                                  <w:r w:rsidRPr="00685FC9">
                                    <w:rPr>
                                      <w:rFonts w:cstheme="minorHAnsi"/>
                                      <w:b/>
                                      <w:color w:val="0D0D0D" w:themeColor="text1" w:themeTint="F2"/>
                                      <w:sz w:val="24"/>
                                      <w:szCs w:val="24"/>
                                    </w:rPr>
                                    <w:t>Latar Belakang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735EB79C" id="Flowchart: Document 28" o:spid="_x0000_s1029"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inset=",0,,0">
                        <w:txbxContent>
                          <w:p w:rsidR="00C00E93" w:rsidRPr="00685FC9" w:rsidRDefault="00C00E93" w:rsidP="00C00E93">
                            <w:pPr>
                              <w:spacing w:after="0" w:line="240" w:lineRule="auto"/>
                              <w:rPr>
                                <w:b/>
                                <w:sz w:val="24"/>
                                <w:szCs w:val="24"/>
                              </w:rPr>
                            </w:pPr>
                            <w:r w:rsidRPr="00685FC9">
                              <w:rPr>
                                <w:rFonts w:cstheme="minorHAnsi"/>
                                <w:b/>
                                <w:color w:val="0D0D0D" w:themeColor="text1" w:themeTint="F2"/>
                                <w:sz w:val="24"/>
                                <w:szCs w:val="24"/>
                              </w:rPr>
                              <w:t>Latar Belakang</w:t>
                            </w:r>
                          </w:p>
                        </w:txbxContent>
                      </v:textbox>
                      <w10:anchorlock/>
                    </v:shape>
                  </w:pict>
                </mc:Fallback>
              </mc:AlternateContent>
            </w:r>
          </w:p>
        </w:tc>
        <w:tc>
          <w:tcPr>
            <w:tcW w:w="4821" w:type="dxa"/>
            <w:shd w:val="clear" w:color="auto" w:fill="auto"/>
          </w:tcPr>
          <w:p w:rsidR="00C00E93" w:rsidRPr="00DF39C0" w:rsidRDefault="00C00E93" w:rsidP="00AC3680">
            <w:pPr>
              <w:rPr>
                <w:b/>
                <w:sz w:val="24"/>
                <w:szCs w:val="24"/>
              </w:rPr>
            </w:pPr>
            <w:r w:rsidRPr="00310B89">
              <w:rPr>
                <w:b/>
                <w:noProof/>
                <w:color w:val="2BA3FF"/>
                <w:sz w:val="32"/>
              </w:rPr>
              <w:drawing>
                <wp:inline distT="0" distB="0" distL="0" distR="0" wp14:anchorId="68F5B3EE" wp14:editId="3504A527">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b/>
                <w:sz w:val="24"/>
                <w:szCs w:val="24"/>
              </w:rPr>
              <w:t xml:space="preserve"> </w:t>
            </w:r>
            <w:r>
              <w:rPr>
                <w:rFonts w:cstheme="minorHAnsi"/>
                <w:noProof/>
                <w:color w:val="000000" w:themeColor="text1"/>
                <w:sz w:val="32"/>
                <w:szCs w:val="32"/>
              </w:rPr>
              <mc:AlternateContent>
                <mc:Choice Requires="wps">
                  <w:drawing>
                    <wp:inline distT="0" distB="0" distL="0" distR="0" wp14:anchorId="0E408E08" wp14:editId="5D95799C">
                      <wp:extent cx="1943100" cy="347980"/>
                      <wp:effectExtent l="0" t="0" r="0" b="0"/>
                      <wp:docPr id="29" name="Flowchart: Document 29"/>
                      <wp:cNvGraphicFramePr/>
                      <a:graphic xmlns:a="http://schemas.openxmlformats.org/drawingml/2006/main">
                        <a:graphicData uri="http://schemas.microsoft.com/office/word/2010/wordprocessingShape">
                          <wps:wsp>
                            <wps:cNvSpPr/>
                            <wps:spPr>
                              <a:xfrm>
                                <a:off x="0" y="0"/>
                                <a:ext cx="1943100" cy="34798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00E93" w:rsidRPr="00685FC9" w:rsidRDefault="00C00E93" w:rsidP="00C00E93">
                                  <w:pPr>
                                    <w:spacing w:after="0" w:line="240" w:lineRule="auto"/>
                                    <w:rPr>
                                      <w:b/>
                                      <w:sz w:val="24"/>
                                      <w:szCs w:val="24"/>
                                    </w:rPr>
                                  </w:pPr>
                                  <w:r w:rsidRPr="00685FC9">
                                    <w:rPr>
                                      <w:rFonts w:cstheme="minorHAnsi"/>
                                      <w:b/>
                                      <w:color w:val="0D0D0D" w:themeColor="text1" w:themeTint="F2"/>
                                      <w:sz w:val="24"/>
                                      <w:szCs w:val="24"/>
                                    </w:rPr>
                                    <w:t>Hasil dan Manfaat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0E408E08" id="Flowchart: Document 29" o:spid="_x0000_s1030" type="#_x0000_t114" style="width:153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inset=",0,,0">
                        <w:txbxContent>
                          <w:p w:rsidR="00C00E93" w:rsidRPr="00685FC9" w:rsidRDefault="00C00E93" w:rsidP="00C00E93">
                            <w:pPr>
                              <w:spacing w:after="0" w:line="240" w:lineRule="auto"/>
                              <w:rPr>
                                <w:b/>
                                <w:sz w:val="24"/>
                                <w:szCs w:val="24"/>
                              </w:rPr>
                            </w:pPr>
                            <w:r w:rsidRPr="00685FC9">
                              <w:rPr>
                                <w:rFonts w:cstheme="minorHAnsi"/>
                                <w:b/>
                                <w:color w:val="0D0D0D" w:themeColor="text1" w:themeTint="F2"/>
                                <w:sz w:val="24"/>
                                <w:szCs w:val="24"/>
                              </w:rPr>
                              <w:t>Hasil dan Manfaat</w:t>
                            </w:r>
                          </w:p>
                        </w:txbxContent>
                      </v:textbox>
                      <w10:anchorlock/>
                    </v:shape>
                  </w:pict>
                </mc:Fallback>
              </mc:AlternateContent>
            </w:r>
          </w:p>
        </w:tc>
      </w:tr>
      <w:tr w:rsidR="00C00E93" w:rsidRPr="00C903B7" w:rsidTr="00F16B4E">
        <w:trPr>
          <w:trHeight w:val="6050"/>
        </w:trPr>
        <w:tc>
          <w:tcPr>
            <w:tcW w:w="4655" w:type="dxa"/>
          </w:tcPr>
          <w:p w:rsidR="002E4F53" w:rsidRPr="002E4F53" w:rsidRDefault="002E4F53" w:rsidP="00FA084F">
            <w:pPr>
              <w:jc w:val="both"/>
              <w:rPr>
                <w:rFonts w:ascii="Times New Roman" w:hAnsi="Times New Roman" w:cs="Times New Roman"/>
              </w:rPr>
            </w:pPr>
            <w:r w:rsidRPr="002E4F53">
              <w:rPr>
                <w:rFonts w:ascii="Times New Roman" w:hAnsi="Times New Roman" w:cs="Times New Roman"/>
                <w:iCs/>
              </w:rPr>
              <w:t>World Bank</w:t>
            </w:r>
            <w:r w:rsidRPr="002E4F53">
              <w:rPr>
                <w:rFonts w:ascii="Times New Roman" w:hAnsi="Times New Roman" w:cs="Times New Roman"/>
              </w:rPr>
              <w:t xml:space="preserve"> </w:t>
            </w:r>
            <w:r>
              <w:rPr>
                <w:rFonts w:ascii="Times New Roman" w:hAnsi="Times New Roman" w:cs="Times New Roman"/>
              </w:rPr>
              <w:t xml:space="preserve">(WB) </w:t>
            </w:r>
            <w:r w:rsidRPr="002E4F53">
              <w:rPr>
                <w:rFonts w:ascii="Times New Roman" w:hAnsi="Times New Roman" w:cs="Times New Roman"/>
              </w:rPr>
              <w:t xml:space="preserve">berada di balik reformasi pendidikan tinggi di Indonesia. Keterlibatan  </w:t>
            </w:r>
            <w:r w:rsidRPr="002E4F53">
              <w:rPr>
                <w:rFonts w:ascii="Times New Roman" w:hAnsi="Times New Roman" w:cs="Times New Roman"/>
                <w:i/>
                <w:iCs/>
              </w:rPr>
              <w:t xml:space="preserve">WB </w:t>
            </w:r>
            <w:r w:rsidRPr="002E4F53">
              <w:rPr>
                <w:rFonts w:ascii="Times New Roman" w:hAnsi="Times New Roman" w:cs="Times New Roman"/>
              </w:rPr>
              <w:t xml:space="preserve">di Indonesia bertujuan untuk melanggengkan kepentingan kapitalis yang berideologi neoliberal. Kepentingan utama </w:t>
            </w:r>
            <w:r w:rsidRPr="002E4F53">
              <w:rPr>
                <w:rFonts w:ascii="Times New Roman" w:hAnsi="Times New Roman" w:cs="Times New Roman"/>
                <w:i/>
                <w:iCs/>
              </w:rPr>
              <w:t>WB</w:t>
            </w:r>
            <w:r w:rsidRPr="002E4F53">
              <w:rPr>
                <w:rFonts w:ascii="Times New Roman" w:hAnsi="Times New Roman" w:cs="Times New Roman"/>
              </w:rPr>
              <w:t xml:space="preserve"> adalah menjadikan jasa pendidikan tinggi menjadi barang privat, sehingga menjadi “komoditas pasar”, dengan mengurangi peran negara dalam pembiayaan pendidikan tinggi. </w:t>
            </w:r>
            <w:r w:rsidRPr="002E4F53">
              <w:rPr>
                <w:rFonts w:ascii="Times New Roman" w:hAnsi="Times New Roman" w:cs="Times New Roman"/>
                <w:i/>
                <w:iCs/>
              </w:rPr>
              <w:t xml:space="preserve">WB </w:t>
            </w:r>
            <w:r w:rsidRPr="002E4F53">
              <w:rPr>
                <w:rFonts w:ascii="Times New Roman" w:hAnsi="Times New Roman" w:cs="Times New Roman"/>
              </w:rPr>
              <w:t xml:space="preserve">telah menggeser </w:t>
            </w:r>
            <w:r w:rsidRPr="002E4F53">
              <w:rPr>
                <w:rFonts w:ascii="Times New Roman" w:hAnsi="Times New Roman" w:cs="Times New Roman"/>
                <w:i/>
                <w:iCs/>
              </w:rPr>
              <w:t>lifeworld</w:t>
            </w:r>
            <w:r w:rsidRPr="002E4F53">
              <w:rPr>
                <w:rFonts w:ascii="Times New Roman" w:hAnsi="Times New Roman" w:cs="Times New Roman"/>
              </w:rPr>
              <w:t xml:space="preserve">  ranah publik pendidikan tinggi  ke ranah privat, melalui </w:t>
            </w:r>
            <w:r w:rsidRPr="002E4F53">
              <w:rPr>
                <w:rFonts w:ascii="Times New Roman" w:hAnsi="Times New Roman" w:cs="Times New Roman"/>
                <w:i/>
                <w:iCs/>
              </w:rPr>
              <w:t>steering media</w:t>
            </w:r>
            <w:r w:rsidRPr="002E4F53">
              <w:rPr>
                <w:rFonts w:ascii="Times New Roman" w:hAnsi="Times New Roman" w:cs="Times New Roman"/>
              </w:rPr>
              <w:t xml:space="preserve"> </w:t>
            </w:r>
            <w:r w:rsidRPr="002E4F53">
              <w:rPr>
                <w:rFonts w:ascii="Times New Roman" w:hAnsi="Times New Roman" w:cs="Times New Roman"/>
                <w:i/>
                <w:iCs/>
              </w:rPr>
              <w:t>N</w:t>
            </w:r>
            <w:r>
              <w:rPr>
                <w:rFonts w:ascii="Times New Roman" w:hAnsi="Times New Roman" w:cs="Times New Roman"/>
                <w:i/>
                <w:iCs/>
              </w:rPr>
              <w:t xml:space="preserve">ew </w:t>
            </w:r>
            <w:r w:rsidRPr="002E4F53">
              <w:rPr>
                <w:rFonts w:ascii="Times New Roman" w:hAnsi="Times New Roman" w:cs="Times New Roman"/>
                <w:i/>
                <w:iCs/>
              </w:rPr>
              <w:t>P</w:t>
            </w:r>
            <w:r>
              <w:rPr>
                <w:rFonts w:ascii="Times New Roman" w:hAnsi="Times New Roman" w:cs="Times New Roman"/>
                <w:i/>
                <w:iCs/>
              </w:rPr>
              <w:t xml:space="preserve">ublic </w:t>
            </w:r>
            <w:r w:rsidRPr="002E4F53">
              <w:rPr>
                <w:rFonts w:ascii="Times New Roman" w:hAnsi="Times New Roman" w:cs="Times New Roman"/>
                <w:i/>
                <w:iCs/>
              </w:rPr>
              <w:t>M</w:t>
            </w:r>
            <w:r>
              <w:rPr>
                <w:rFonts w:ascii="Times New Roman" w:hAnsi="Times New Roman" w:cs="Times New Roman"/>
                <w:i/>
                <w:iCs/>
              </w:rPr>
              <w:t>anagement (NPM)</w:t>
            </w:r>
            <w:r w:rsidRPr="002E4F53">
              <w:rPr>
                <w:rFonts w:ascii="Times New Roman" w:hAnsi="Times New Roman" w:cs="Times New Roman"/>
              </w:rPr>
              <w:t xml:space="preserve"> dan akuntansi.  </w:t>
            </w:r>
            <w:r w:rsidRPr="002E4F53">
              <w:rPr>
                <w:rFonts w:ascii="Times New Roman" w:hAnsi="Times New Roman" w:cs="Times New Roman"/>
                <w:i/>
                <w:iCs/>
              </w:rPr>
              <w:t>Steering media</w:t>
            </w:r>
            <w:r w:rsidRPr="002E4F53">
              <w:rPr>
                <w:rFonts w:ascii="Times New Roman" w:hAnsi="Times New Roman" w:cs="Times New Roman"/>
              </w:rPr>
              <w:t xml:space="preserve"> tersebut telah mengalami proses yuridifikasi melalui   </w:t>
            </w:r>
            <w:r w:rsidRPr="002E4F53">
              <w:rPr>
                <w:rFonts w:ascii="Times New Roman" w:eastAsia="Times New Roman" w:hAnsi="Times New Roman" w:cs="Times New Roman"/>
              </w:rPr>
              <w:t>UU No. 1/2004 tentang Perbendaharaan Negara</w:t>
            </w:r>
            <w:r w:rsidRPr="002E4F53">
              <w:rPr>
                <w:rFonts w:ascii="Times New Roman" w:hAnsi="Times New Roman" w:cs="Times New Roman"/>
              </w:rPr>
              <w:t>,  UU No 20/2003 tentang Sisdiknas, PP No 23/25 tentang B</w:t>
            </w:r>
            <w:r w:rsidR="00F16B4E">
              <w:rPr>
                <w:rFonts w:ascii="Times New Roman" w:hAnsi="Times New Roman" w:cs="Times New Roman"/>
              </w:rPr>
              <w:t xml:space="preserve">adan </w:t>
            </w:r>
            <w:r w:rsidRPr="002E4F53">
              <w:rPr>
                <w:rFonts w:ascii="Times New Roman" w:hAnsi="Times New Roman" w:cs="Times New Roman"/>
              </w:rPr>
              <w:t>L</w:t>
            </w:r>
            <w:r w:rsidR="00F16B4E">
              <w:rPr>
                <w:rFonts w:ascii="Times New Roman" w:hAnsi="Times New Roman" w:cs="Times New Roman"/>
              </w:rPr>
              <w:t xml:space="preserve">ayanan </w:t>
            </w:r>
            <w:r w:rsidRPr="002E4F53">
              <w:rPr>
                <w:rFonts w:ascii="Times New Roman" w:hAnsi="Times New Roman" w:cs="Times New Roman"/>
              </w:rPr>
              <w:t>U</w:t>
            </w:r>
            <w:r w:rsidR="00F16B4E">
              <w:rPr>
                <w:rFonts w:ascii="Times New Roman" w:hAnsi="Times New Roman" w:cs="Times New Roman"/>
              </w:rPr>
              <w:t>mum (BLU)</w:t>
            </w:r>
            <w:r w:rsidRPr="002E4F53">
              <w:rPr>
                <w:rFonts w:ascii="Times New Roman" w:hAnsi="Times New Roman" w:cs="Times New Roman"/>
              </w:rPr>
              <w:t xml:space="preserve">,  dan PMK No 79/2008 tentang Laporan Keuangan BLU.  </w:t>
            </w:r>
            <w:r>
              <w:rPr>
                <w:rFonts w:ascii="Times New Roman" w:hAnsi="Times New Roman" w:cs="Times New Roman"/>
              </w:rPr>
              <w:t xml:space="preserve">Akuntansi telah menjadi media kolonisasi sistem kapitalis terhadap </w:t>
            </w:r>
            <w:r w:rsidRPr="00F16B4E">
              <w:rPr>
                <w:rFonts w:ascii="Times New Roman" w:hAnsi="Times New Roman" w:cs="Times New Roman"/>
                <w:i/>
              </w:rPr>
              <w:t>lifeworld</w:t>
            </w:r>
            <w:r>
              <w:rPr>
                <w:rFonts w:ascii="Times New Roman" w:hAnsi="Times New Roman" w:cs="Times New Roman"/>
              </w:rPr>
              <w:t xml:space="preserve"> perguruan tinggi. Bagaimana akuntansi yang mampu membebaskan kolonisasi?</w:t>
            </w:r>
          </w:p>
          <w:p w:rsidR="00C00E93" w:rsidRDefault="00C00E93" w:rsidP="00AC3680"/>
        </w:tc>
        <w:tc>
          <w:tcPr>
            <w:tcW w:w="4821" w:type="dxa"/>
            <w:vMerge w:val="restart"/>
            <w:shd w:val="clear" w:color="auto" w:fill="auto"/>
            <w:vAlign w:val="center"/>
          </w:tcPr>
          <w:p w:rsidR="00C00E93" w:rsidRPr="00DD77A2" w:rsidRDefault="00087542" w:rsidP="00DD77A2">
            <w:pPr>
              <w:autoSpaceDE w:val="0"/>
              <w:autoSpaceDN w:val="0"/>
              <w:adjustRightInd w:val="0"/>
              <w:jc w:val="both"/>
              <w:rPr>
                <w:rFonts w:cstheme="minorHAnsi"/>
                <w:color w:val="0D0D0D" w:themeColor="text1" w:themeTint="F2"/>
                <w:sz w:val="24"/>
                <w:szCs w:val="24"/>
              </w:rPr>
            </w:pPr>
            <w:r w:rsidRPr="00DD77A2">
              <w:rPr>
                <w:rFonts w:cstheme="minorHAnsi"/>
                <w:color w:val="0D0D0D" w:themeColor="text1" w:themeTint="F2"/>
                <w:sz w:val="24"/>
                <w:szCs w:val="24"/>
              </w:rPr>
              <w:t>Penelitian ini telah menghasilkan konsep filosofis</w:t>
            </w:r>
            <w:r w:rsidR="00FA084F" w:rsidRPr="00DD77A2">
              <w:rPr>
                <w:rFonts w:cstheme="minorHAnsi"/>
                <w:color w:val="0D0D0D" w:themeColor="text1" w:themeTint="F2"/>
                <w:sz w:val="24"/>
                <w:szCs w:val="24"/>
              </w:rPr>
              <w:t xml:space="preserve"> “A</w:t>
            </w:r>
            <w:r w:rsidRPr="00DD77A2">
              <w:rPr>
                <w:rFonts w:cstheme="minorHAnsi"/>
                <w:color w:val="0D0D0D" w:themeColor="text1" w:themeTint="F2"/>
                <w:sz w:val="24"/>
                <w:szCs w:val="24"/>
              </w:rPr>
              <w:t>kuntansi emansipatoris</w:t>
            </w:r>
            <w:r w:rsidR="00FA084F" w:rsidRPr="00DD77A2">
              <w:rPr>
                <w:rFonts w:cstheme="minorHAnsi"/>
                <w:color w:val="0D0D0D" w:themeColor="text1" w:themeTint="F2"/>
                <w:sz w:val="24"/>
                <w:szCs w:val="24"/>
              </w:rPr>
              <w:t>”</w:t>
            </w:r>
            <w:r w:rsidRPr="00DD77A2">
              <w:rPr>
                <w:rFonts w:cstheme="minorHAnsi"/>
                <w:color w:val="0D0D0D" w:themeColor="text1" w:themeTint="F2"/>
                <w:sz w:val="24"/>
                <w:szCs w:val="24"/>
              </w:rPr>
              <w:t xml:space="preserve"> untuk perguruan tinggi.</w:t>
            </w:r>
            <w:r w:rsidR="00FA084F" w:rsidRPr="00DD77A2">
              <w:rPr>
                <w:rFonts w:cstheme="minorHAnsi"/>
                <w:color w:val="0D0D0D" w:themeColor="text1" w:themeTint="F2"/>
                <w:sz w:val="24"/>
                <w:szCs w:val="24"/>
              </w:rPr>
              <w:t xml:space="preserve"> Akuntansi emansipatoris ini memperkaya teori akuntansi sektor public dari paradigma kritis. Konsep akuntansi emansipatoris ini dapat menjadi dasar dikembangkannnya kerangka dasar konseptual dan </w:t>
            </w:r>
            <w:r w:rsidR="00DD77A2" w:rsidRPr="00DD77A2">
              <w:rPr>
                <w:rFonts w:cstheme="minorHAnsi"/>
                <w:color w:val="0D0D0D" w:themeColor="text1" w:themeTint="F2"/>
                <w:sz w:val="24"/>
                <w:szCs w:val="24"/>
              </w:rPr>
              <w:t xml:space="preserve"> pengembangan teknis pelaporan keuangan PT. selain itu, hasil</w:t>
            </w:r>
            <w:r w:rsidR="00FA084F" w:rsidRPr="00DD77A2">
              <w:rPr>
                <w:rFonts w:ascii="Times New Roman" w:hAnsi="Times New Roman" w:cs="Times New Roman"/>
                <w:sz w:val="24"/>
                <w:szCs w:val="24"/>
                <w:lang w:val="id-ID"/>
              </w:rPr>
              <w:t xml:space="preserve"> ini diharapkan menjadi “pencerahan”</w:t>
            </w:r>
            <w:r w:rsidR="00FA084F" w:rsidRPr="00DD77A2">
              <w:rPr>
                <w:rFonts w:ascii="Times New Roman" w:hAnsi="Times New Roman" w:cs="Times New Roman"/>
                <w:sz w:val="24"/>
                <w:szCs w:val="24"/>
              </w:rPr>
              <w:t>,</w:t>
            </w:r>
            <w:r w:rsidR="00FA084F" w:rsidRPr="00DD77A2">
              <w:rPr>
                <w:rFonts w:ascii="Times New Roman" w:hAnsi="Times New Roman" w:cs="Times New Roman"/>
                <w:sz w:val="24"/>
                <w:szCs w:val="24"/>
                <w:lang w:val="id-ID"/>
              </w:rPr>
              <w:t xml:space="preserve"> sebagai salah satu upaya untuk mencegah keberlanjutan korporatisasi PT  dan komersialisasi jasa pendidikan tinggi</w:t>
            </w:r>
          </w:p>
        </w:tc>
      </w:tr>
      <w:tr w:rsidR="00C00E93" w:rsidRPr="00C903B7" w:rsidTr="00F16B4E">
        <w:trPr>
          <w:trHeight w:val="632"/>
        </w:trPr>
        <w:tc>
          <w:tcPr>
            <w:tcW w:w="4655" w:type="dxa"/>
          </w:tcPr>
          <w:p w:rsidR="00C00E93" w:rsidRPr="00DF39C0" w:rsidRDefault="00C00E93" w:rsidP="00AC3680">
            <w:pPr>
              <w:rPr>
                <w:sz w:val="24"/>
                <w:szCs w:val="24"/>
              </w:rPr>
            </w:pPr>
            <w:r w:rsidRPr="00310B89">
              <w:rPr>
                <w:b/>
                <w:noProof/>
                <w:color w:val="2BA3FF"/>
                <w:sz w:val="32"/>
              </w:rPr>
              <w:drawing>
                <wp:inline distT="0" distB="0" distL="0" distR="0" wp14:anchorId="3DEF4810" wp14:editId="1FAC71FE">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cstheme="minorHAnsi"/>
                <w:noProof/>
                <w:color w:val="000000" w:themeColor="text1"/>
                <w:sz w:val="32"/>
                <w:szCs w:val="32"/>
              </w:rPr>
              <mc:AlternateContent>
                <mc:Choice Requires="wps">
                  <w:drawing>
                    <wp:inline distT="0" distB="0" distL="0" distR="0" wp14:anchorId="359DF17E" wp14:editId="07464EE9">
                      <wp:extent cx="1714500" cy="333375"/>
                      <wp:effectExtent l="0" t="0" r="0" b="9525"/>
                      <wp:docPr id="35" name="Flowchart: Document 35"/>
                      <wp:cNvGraphicFramePr/>
                      <a:graphic xmlns:a="http://schemas.openxmlformats.org/drawingml/2006/main">
                        <a:graphicData uri="http://schemas.microsoft.com/office/word/2010/wordprocessingShape">
                          <wps:wsp>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00E93" w:rsidRPr="002E01BD" w:rsidRDefault="00C00E93" w:rsidP="00C00E93">
                                  <w:pPr>
                                    <w:spacing w:after="0" w:line="240" w:lineRule="auto"/>
                                    <w:rPr>
                                      <w:b/>
                                      <w:sz w:val="24"/>
                                      <w:szCs w:val="24"/>
                                    </w:rPr>
                                  </w:pPr>
                                  <w:r w:rsidRPr="002E01BD">
                                    <w:rPr>
                                      <w:rFonts w:cstheme="minorHAnsi"/>
                                      <w:b/>
                                      <w:color w:val="0D0D0D" w:themeColor="text1" w:themeTint="F2"/>
                                      <w:sz w:val="24"/>
                                      <w:szCs w:val="24"/>
                                    </w:rPr>
                                    <w:t>Metode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359DF17E" id="Flowchart: Document 35" o:spid="_x0000_s1031"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7qvA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" fillcolor="#8496b0 [1951]" stroked="f" strokeweight="1pt">
                      <v:textbox inset=",0,,0">
                        <w:txbxContent>
                          <w:p w:rsidR="00C00E93" w:rsidRPr="002E01BD" w:rsidRDefault="00C00E93" w:rsidP="00C00E93">
                            <w:pPr>
                              <w:spacing w:after="0" w:line="240" w:lineRule="auto"/>
                              <w:rPr>
                                <w:b/>
                                <w:sz w:val="24"/>
                                <w:szCs w:val="24"/>
                              </w:rPr>
                            </w:pPr>
                            <w:r w:rsidRPr="002E01BD">
                              <w:rPr>
                                <w:rFonts w:cstheme="minorHAnsi"/>
                                <w:b/>
                                <w:color w:val="0D0D0D" w:themeColor="text1" w:themeTint="F2"/>
                                <w:sz w:val="24"/>
                                <w:szCs w:val="24"/>
                              </w:rPr>
                              <w:t>Metode</w:t>
                            </w:r>
                          </w:p>
                        </w:txbxContent>
                      </v:textbox>
                      <w10:anchorlock/>
                    </v:shape>
                  </w:pict>
                </mc:Fallback>
              </mc:AlternateContent>
            </w:r>
          </w:p>
        </w:tc>
        <w:tc>
          <w:tcPr>
            <w:tcW w:w="4821" w:type="dxa"/>
            <w:vMerge/>
            <w:shd w:val="clear" w:color="auto" w:fill="auto"/>
            <w:vAlign w:val="center"/>
          </w:tcPr>
          <w:p w:rsidR="00C00E93" w:rsidRPr="00F3494D" w:rsidRDefault="00C00E93" w:rsidP="00AC3680">
            <w:pPr>
              <w:spacing w:before="120" w:after="120"/>
              <w:rPr>
                <w:rFonts w:cstheme="minorHAnsi"/>
                <w:color w:val="0D0D0D" w:themeColor="text1" w:themeTint="F2"/>
                <w:sz w:val="24"/>
                <w:szCs w:val="24"/>
              </w:rPr>
            </w:pPr>
          </w:p>
        </w:tc>
      </w:tr>
      <w:tr w:rsidR="00F16B4E" w:rsidRPr="00C903B7" w:rsidTr="00F16B4E">
        <w:trPr>
          <w:trHeight w:val="632"/>
        </w:trPr>
        <w:tc>
          <w:tcPr>
            <w:tcW w:w="4655" w:type="dxa"/>
          </w:tcPr>
          <w:p w:rsidR="00F16B4E" w:rsidRDefault="00F16B4E" w:rsidP="00F16B4E">
            <w:pPr>
              <w:jc w:val="both"/>
              <w:rPr>
                <w:b/>
                <w:noProof/>
                <w:color w:val="2BA3FF"/>
                <w:sz w:val="32"/>
              </w:rPr>
            </w:pPr>
            <w:r>
              <w:t>Penelitian ini merupakan penelitian nonpositivistik dengan paradigma kritis. Penelitian dilakukan di salah satu PTN BLU. Teori Tindakan Komunikatif Habermas digunakan sebagai metodologi sekaligus sebagai alat analisis data. Metodologi Habermas termasuk dalam</w:t>
            </w:r>
            <w:r w:rsidRPr="00087542">
              <w:rPr>
                <w:rFonts w:ascii="Times New Roman" w:hAnsi="Times New Roman" w:cs="Times New Roman"/>
                <w:bCs/>
                <w:i/>
                <w:sz w:val="24"/>
                <w:szCs w:val="24"/>
              </w:rPr>
              <w:t xml:space="preserve"> </w:t>
            </w:r>
            <w:r w:rsidRPr="00287146">
              <w:rPr>
                <w:rFonts w:ascii="Times New Roman" w:hAnsi="Times New Roman" w:cs="Times New Roman"/>
                <w:bCs/>
                <w:i/>
                <w:sz w:val="24"/>
                <w:szCs w:val="24"/>
              </w:rPr>
              <w:t>Middle Range Theory</w:t>
            </w:r>
            <w:r>
              <w:rPr>
                <w:rFonts w:ascii="Times New Roman" w:hAnsi="Times New Roman" w:cs="Times New Roman"/>
                <w:bCs/>
                <w:i/>
                <w:sz w:val="24"/>
                <w:szCs w:val="24"/>
              </w:rPr>
              <w:t xml:space="preserve"> </w:t>
            </w:r>
            <w:r w:rsidRPr="00087542">
              <w:rPr>
                <w:rFonts w:ascii="Times New Roman" w:hAnsi="Times New Roman" w:cs="Times New Roman"/>
                <w:b/>
                <w:bCs/>
                <w:i/>
                <w:sz w:val="24"/>
                <w:szCs w:val="24"/>
              </w:rPr>
              <w:t>(</w:t>
            </w:r>
            <w:r w:rsidRPr="00087542">
              <w:rPr>
                <w:b/>
              </w:rPr>
              <w:t xml:space="preserve"> </w:t>
            </w:r>
            <w:r w:rsidRPr="00087542">
              <w:rPr>
                <w:rFonts w:ascii="Times New Roman" w:hAnsi="Times New Roman" w:cs="Times New Roman"/>
                <w:b/>
                <w:bCs/>
                <w:iCs/>
                <w:sz w:val="24"/>
                <w:szCs w:val="24"/>
              </w:rPr>
              <w:t>M</w:t>
            </w:r>
            <w:r w:rsidRPr="00287146">
              <w:rPr>
                <w:rFonts w:ascii="Times New Roman" w:hAnsi="Times New Roman" w:cs="Times New Roman"/>
                <w:bCs/>
                <w:iCs/>
                <w:sz w:val="24"/>
                <w:szCs w:val="24"/>
              </w:rPr>
              <w:t>RT</w:t>
            </w:r>
            <w:r>
              <w:rPr>
                <w:rFonts w:ascii="Times New Roman" w:hAnsi="Times New Roman" w:cs="Times New Roman"/>
                <w:bCs/>
                <w:iCs/>
                <w:sz w:val="24"/>
                <w:szCs w:val="24"/>
              </w:rPr>
              <w:t>).</w:t>
            </w:r>
            <w:r w:rsidRPr="00287146">
              <w:rPr>
                <w:rFonts w:ascii="Times New Roman" w:hAnsi="Times New Roman" w:cs="Times New Roman"/>
                <w:bCs/>
                <w:iCs/>
                <w:sz w:val="24"/>
                <w:szCs w:val="24"/>
              </w:rPr>
              <w:t xml:space="preserve"> </w:t>
            </w:r>
            <w:r>
              <w:rPr>
                <w:rFonts w:ascii="Times New Roman" w:hAnsi="Times New Roman" w:cs="Times New Roman"/>
                <w:bCs/>
                <w:iCs/>
                <w:sz w:val="24"/>
                <w:szCs w:val="24"/>
              </w:rPr>
              <w:t>MRT d</w:t>
            </w:r>
            <w:r w:rsidRPr="00287146">
              <w:rPr>
                <w:rFonts w:ascii="Times New Roman" w:hAnsi="Times New Roman" w:cs="Times New Roman"/>
                <w:bCs/>
                <w:iCs/>
                <w:sz w:val="24"/>
                <w:szCs w:val="24"/>
              </w:rPr>
              <w:t xml:space="preserve">ibagi menjadi dua tahap yaitu </w:t>
            </w:r>
            <w:r w:rsidRPr="00287146">
              <w:rPr>
                <w:rFonts w:ascii="Times New Roman" w:hAnsi="Times New Roman" w:cs="Times New Roman"/>
                <w:bCs/>
                <w:i/>
                <w:sz w:val="24"/>
                <w:szCs w:val="24"/>
              </w:rPr>
              <w:t xml:space="preserve">formulation of critical theorems </w:t>
            </w:r>
            <w:r w:rsidRPr="00287146">
              <w:rPr>
                <w:rFonts w:ascii="Times New Roman" w:hAnsi="Times New Roman" w:cs="Times New Roman"/>
                <w:bCs/>
                <w:iCs/>
                <w:sz w:val="24"/>
                <w:szCs w:val="24"/>
              </w:rPr>
              <w:t>dan</w:t>
            </w:r>
            <w:r w:rsidRPr="00287146">
              <w:rPr>
                <w:rFonts w:ascii="Times New Roman" w:hAnsi="Times New Roman" w:cs="Times New Roman"/>
                <w:bCs/>
                <w:i/>
                <w:iCs/>
                <w:sz w:val="24"/>
                <w:szCs w:val="24"/>
              </w:rPr>
              <w:t xml:space="preserve"> process of enlightment</w:t>
            </w:r>
            <w:r>
              <w:rPr>
                <w:rFonts w:ascii="Times New Roman" w:hAnsi="Times New Roman" w:cs="Times New Roman"/>
                <w:bCs/>
                <w:i/>
                <w:iCs/>
                <w:sz w:val="24"/>
                <w:szCs w:val="24"/>
              </w:rPr>
              <w:t>.</w:t>
            </w:r>
          </w:p>
          <w:p w:rsidR="00F16B4E" w:rsidRPr="00310B89" w:rsidRDefault="00F16B4E" w:rsidP="00AC3680">
            <w:pPr>
              <w:rPr>
                <w:b/>
                <w:noProof/>
                <w:color w:val="2BA3FF"/>
                <w:sz w:val="32"/>
              </w:rPr>
            </w:pPr>
          </w:p>
        </w:tc>
        <w:tc>
          <w:tcPr>
            <w:tcW w:w="4821" w:type="dxa"/>
            <w:shd w:val="clear" w:color="auto" w:fill="auto"/>
            <w:vAlign w:val="center"/>
          </w:tcPr>
          <w:p w:rsidR="00F16B4E" w:rsidRPr="00F3494D" w:rsidRDefault="00F16B4E" w:rsidP="00AC3680">
            <w:pPr>
              <w:spacing w:before="120" w:after="120"/>
              <w:rPr>
                <w:rFonts w:cstheme="minorHAnsi"/>
                <w:color w:val="0D0D0D" w:themeColor="text1" w:themeTint="F2"/>
                <w:sz w:val="24"/>
                <w:szCs w:val="24"/>
              </w:rPr>
            </w:pPr>
          </w:p>
        </w:tc>
      </w:tr>
    </w:tbl>
    <w:p w:rsidR="00376089" w:rsidRDefault="00087542" w:rsidP="00DD77A2">
      <w:pPr>
        <w:jc w:val="both"/>
      </w:pPr>
      <w:r>
        <w:rPr>
          <w:rFonts w:ascii="Times New Roman" w:hAnsi="Times New Roman" w:cs="Times New Roman"/>
          <w:bCs/>
          <w:i/>
          <w:iCs/>
          <w:sz w:val="24"/>
          <w:szCs w:val="24"/>
        </w:rPr>
        <w:t xml:space="preserve">. </w:t>
      </w:r>
    </w:p>
    <w:p w:rsidR="00F16B4E" w:rsidRDefault="00F16B4E">
      <w:pPr>
        <w:jc w:val="both"/>
      </w:pPr>
      <w:bookmarkStart w:id="0" w:name="_GoBack"/>
      <w:bookmarkEnd w:id="0"/>
    </w:p>
    <w:sectPr w:rsidR="00F16B4E" w:rsidSect="008B7C11">
      <w:headerReference w:type="default" r:id="rId10"/>
      <w:pgSz w:w="11907" w:h="16839" w:code="9"/>
      <w:pgMar w:top="1701" w:right="1701" w:bottom="1701" w:left="153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4D29">
      <w:pPr>
        <w:spacing w:after="0" w:line="240" w:lineRule="auto"/>
      </w:pPr>
      <w:r>
        <w:separator/>
      </w:r>
    </w:p>
  </w:endnote>
  <w:endnote w:type="continuationSeparator" w:id="0">
    <w:p w:rsidR="00000000" w:rsidRDefault="00A0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4D29">
      <w:pPr>
        <w:spacing w:after="0" w:line="240" w:lineRule="auto"/>
      </w:pPr>
      <w:r>
        <w:separator/>
      </w:r>
    </w:p>
  </w:footnote>
  <w:footnote w:type="continuationSeparator" w:id="0">
    <w:p w:rsidR="00000000" w:rsidRDefault="00A0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DC" w:rsidRDefault="00F16B4E">
    <w:pPr>
      <w:pStyle w:val="Header"/>
    </w:pPr>
    <w:r>
      <w:rPr>
        <w:noProof/>
      </w:rPr>
      <mc:AlternateContent>
        <mc:Choice Requires="wpg">
          <w:drawing>
            <wp:anchor distT="0" distB="0" distL="114300" distR="114300" simplePos="0" relativeHeight="251660288" behindDoc="0" locked="0" layoutInCell="1" allowOverlap="1" wp14:anchorId="2DB89FB3" wp14:editId="1ED36CDF">
              <wp:simplePos x="0" y="0"/>
              <wp:positionH relativeFrom="column">
                <wp:posOffset>-314960</wp:posOffset>
              </wp:positionH>
              <wp:positionV relativeFrom="paragraph">
                <wp:posOffset>344805</wp:posOffset>
              </wp:positionV>
              <wp:extent cx="7765415" cy="9886950"/>
              <wp:effectExtent l="0" t="0" r="6985" b="0"/>
              <wp:wrapNone/>
              <wp:docPr id="7" name="Group 7"/>
              <wp:cNvGraphicFramePr/>
              <a:graphic xmlns:a="http://schemas.openxmlformats.org/drawingml/2006/main">
                <a:graphicData uri="http://schemas.microsoft.com/office/word/2010/wordprocessingGroup">
                  <wpg:wgp>
                    <wpg:cNvGrpSpPr/>
                    <wpg:grpSpPr>
                      <a:xfrm>
                        <a:off x="0" y="0"/>
                        <a:ext cx="7765415" cy="9886950"/>
                        <a:chOff x="0" y="0"/>
                        <a:chExt cx="7765415" cy="9886950"/>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5415" cy="9886950"/>
                        </a:xfrm>
                        <a:prstGeom prst="rect">
                          <a:avLst/>
                        </a:prstGeom>
                        <a:noFill/>
                        <a:ln>
                          <a:noFill/>
                        </a:ln>
                      </pic:spPr>
                    </pic:pic>
                    <wps:wsp>
                      <wps:cNvPr id="6" name="Rectangle 6"/>
                      <wps:cNvSpPr/>
                      <wps:spPr>
                        <a:xfrm>
                          <a:off x="323850" y="9020175"/>
                          <a:ext cx="2143125" cy="533400"/>
                        </a:xfrm>
                        <a:prstGeom prst="rect">
                          <a:avLst/>
                        </a:prstGeom>
                        <a:solidFill>
                          <a:srgbClr val="8A8A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1BAC6C" id="Group 7" o:spid="_x0000_s1026"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7654;height:9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2" o:title=""/>
                <v:path arrowok="t"/>
              </v:shape>
              <v:rect id="Rectangle 6" o:spid="_x0000_s1028" style="position:absolute;left:3238;top:90201;width:2143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mc:Fallback>
      </mc:AlternateContent>
    </w:r>
    <w:r w:rsidRPr="002C2EDC">
      <w:rPr>
        <w:noProof/>
      </w:rPr>
      <w:drawing>
        <wp:anchor distT="0" distB="0" distL="114300" distR="114300" simplePos="0" relativeHeight="251659264" behindDoc="0" locked="0" layoutInCell="1" allowOverlap="1" wp14:anchorId="30046E7F" wp14:editId="350FBC8E">
          <wp:simplePos x="0" y="0"/>
          <wp:positionH relativeFrom="column">
            <wp:posOffset>-1070610</wp:posOffset>
          </wp:positionH>
          <wp:positionV relativeFrom="paragraph">
            <wp:posOffset>-447675</wp:posOffset>
          </wp:positionV>
          <wp:extent cx="7766685" cy="11049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93"/>
    <w:rsid w:val="00087542"/>
    <w:rsid w:val="002A4474"/>
    <w:rsid w:val="002E4F53"/>
    <w:rsid w:val="00340C46"/>
    <w:rsid w:val="00347D10"/>
    <w:rsid w:val="00376089"/>
    <w:rsid w:val="00727B5A"/>
    <w:rsid w:val="00A04D29"/>
    <w:rsid w:val="00C00E93"/>
    <w:rsid w:val="00DD77A2"/>
    <w:rsid w:val="00F16B4E"/>
    <w:rsid w:val="00FA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A3B2-8BD4-4B7B-9BB5-94A655DE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E93"/>
  </w:style>
  <w:style w:type="paragraph" w:styleId="ListParagraph">
    <w:name w:val="List Paragraph"/>
    <w:basedOn w:val="Normal"/>
    <w:uiPriority w:val="34"/>
    <w:qFormat/>
    <w:rsid w:val="00C00E93"/>
    <w:pPr>
      <w:ind w:left="720"/>
      <w:contextualSpacing/>
    </w:pPr>
  </w:style>
  <w:style w:type="table" w:styleId="TableGrid">
    <w:name w:val="Table Grid"/>
    <w:basedOn w:val="TableNormal"/>
    <w:uiPriority w:val="39"/>
    <w:rsid w:val="00C00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2015-12-23T01:05:00Z</dcterms:created>
  <dcterms:modified xsi:type="dcterms:W3CDTF">2015-12-23T02:56:00Z</dcterms:modified>
</cp:coreProperties>
</file>